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7F" w:rsidRDefault="008C0D7F"/>
    <w:p w:rsidR="00F600EE" w:rsidRPr="008A5CC9" w:rsidRDefault="00F600EE" w:rsidP="00F600EE">
      <w:pPr>
        <w:pStyle w:val="Titre1"/>
        <w:jc w:val="center"/>
        <w:rPr>
          <w:lang w:val="fr-FR" w:eastAsia="ru-RU"/>
        </w:rPr>
      </w:pPr>
      <w:bookmarkStart w:id="0" w:name="_Toc492005806"/>
      <w:r>
        <w:rPr>
          <w:lang w:val="fr-FR" w:eastAsia="ru-RU"/>
        </w:rPr>
        <w:t>Résumé</w:t>
      </w:r>
      <w:bookmarkEnd w:id="0"/>
    </w:p>
    <w:p w:rsidR="00F600EE" w:rsidRDefault="00F600EE" w:rsidP="00F600EE">
      <w:pPr>
        <w:spacing w:after="0"/>
        <w:jc w:val="center"/>
        <w:rPr>
          <w:sz w:val="26"/>
          <w:szCs w:val="26"/>
          <w:lang w:eastAsia="ru-RU"/>
        </w:rPr>
      </w:pPr>
    </w:p>
    <w:p w:rsidR="00F600EE" w:rsidRPr="00755E45" w:rsidRDefault="00F600EE" w:rsidP="00F600EE">
      <w:pPr>
        <w:jc w:val="both"/>
        <w:rPr>
          <w:rFonts w:eastAsia="Times New Roman" w:cstheme="minorHAnsi"/>
          <w:sz w:val="26"/>
          <w:szCs w:val="26"/>
          <w:lang w:eastAsia="ru-RU"/>
        </w:rPr>
      </w:pPr>
      <w:r w:rsidRPr="00755E45">
        <w:rPr>
          <w:rFonts w:eastAsia="Times New Roman" w:cstheme="minorHAnsi"/>
          <w:sz w:val="26"/>
          <w:szCs w:val="26"/>
          <w:lang w:eastAsia="ru-RU"/>
        </w:rPr>
        <w:t>Titre : “La concentration du capital et l’abondance pétrolière dans les économies eurasiatiques – la Russie, le Kazakhstan, et l’Azerbaïdjan : la performance microéconomique et la dynamique macroéconomique.”</w:t>
      </w:r>
    </w:p>
    <w:p w:rsidR="00F600EE" w:rsidRDefault="00F600EE" w:rsidP="00F600EE">
      <w:pPr>
        <w:jc w:val="center"/>
        <w:rPr>
          <w:rFonts w:eastAsia="Times New Roman" w:cstheme="minorHAnsi"/>
          <w:sz w:val="26"/>
          <w:szCs w:val="26"/>
          <w:lang w:eastAsia="ru-RU"/>
        </w:rPr>
      </w:pPr>
    </w:p>
    <w:p w:rsidR="00F600EE" w:rsidRPr="00755E45" w:rsidRDefault="00F600EE" w:rsidP="00F600EE">
      <w:pPr>
        <w:jc w:val="center"/>
        <w:rPr>
          <w:rFonts w:eastAsia="Times New Roman" w:cstheme="minorHAnsi"/>
          <w:sz w:val="26"/>
          <w:szCs w:val="26"/>
          <w:lang w:eastAsia="ru-RU"/>
        </w:rPr>
      </w:pPr>
      <w:r>
        <w:rPr>
          <w:rFonts w:eastAsia="Times New Roman" w:cstheme="minorHAnsi"/>
          <w:sz w:val="26"/>
          <w:szCs w:val="26"/>
          <w:lang w:eastAsia="ru-RU"/>
        </w:rPr>
        <w:t>Résumé</w:t>
      </w:r>
    </w:p>
    <w:p w:rsidR="00F600EE" w:rsidRDefault="00F600EE" w:rsidP="00F600EE">
      <w:pPr>
        <w:jc w:val="both"/>
        <w:rPr>
          <w:rFonts w:eastAsia="Times New Roman" w:cstheme="minorHAnsi"/>
          <w:sz w:val="26"/>
          <w:szCs w:val="26"/>
          <w:lang w:eastAsia="ru-RU"/>
        </w:rPr>
      </w:pPr>
      <w:r w:rsidRPr="00755E45">
        <w:rPr>
          <w:rFonts w:eastAsia="Times New Roman" w:cstheme="minorHAnsi"/>
          <w:sz w:val="26"/>
          <w:szCs w:val="26"/>
          <w:lang w:eastAsia="ru-RU"/>
        </w:rPr>
        <w:t xml:space="preserve">Cette recherche explore l’influence de l’apparition des milliardaires et de l’abondance pétrolière sur la trajectoire du développement de la Russie, le Kazakhstan, et l’Azerbaïdjan. L’accumulation très contentieuse des patrimoines extraordinaires se déroule en parallèle avec la récession économique et la transformation des anciens propriétaires collectifs des biens d’état </w:t>
      </w:r>
      <w:proofErr w:type="gramStart"/>
      <w:r w:rsidRPr="00755E45">
        <w:rPr>
          <w:rFonts w:eastAsia="Times New Roman" w:cstheme="minorHAnsi"/>
          <w:sz w:val="26"/>
          <w:szCs w:val="26"/>
          <w:lang w:eastAsia="ru-RU"/>
        </w:rPr>
        <w:t>au</w:t>
      </w:r>
      <w:proofErr w:type="gramEnd"/>
      <w:r w:rsidRPr="00755E45">
        <w:rPr>
          <w:rFonts w:eastAsia="Times New Roman" w:cstheme="minorHAnsi"/>
          <w:sz w:val="26"/>
          <w:szCs w:val="26"/>
          <w:lang w:eastAsia="ru-RU"/>
        </w:rPr>
        <w:t xml:space="preserve"> main-d’œuvre mal payé, avec des milles des manifestant</w:t>
      </w:r>
      <w:r>
        <w:rPr>
          <w:rFonts w:eastAsia="Times New Roman" w:cstheme="minorHAnsi"/>
          <w:sz w:val="26"/>
          <w:szCs w:val="26"/>
          <w:lang w:eastAsia="ru-RU"/>
        </w:rPr>
        <w:t>s</w:t>
      </w:r>
      <w:r w:rsidRPr="00755E45">
        <w:rPr>
          <w:rFonts w:eastAsia="Times New Roman" w:cstheme="minorHAnsi"/>
          <w:sz w:val="26"/>
          <w:szCs w:val="26"/>
          <w:lang w:eastAsia="ru-RU"/>
        </w:rPr>
        <w:t xml:space="preserve"> dans les rues de la Russie</w:t>
      </w:r>
      <w:r>
        <w:rPr>
          <w:rFonts w:eastAsia="Times New Roman" w:cstheme="minorHAnsi"/>
          <w:sz w:val="26"/>
          <w:szCs w:val="26"/>
          <w:lang w:eastAsia="ru-RU"/>
        </w:rPr>
        <w:t xml:space="preserve"> </w:t>
      </w:r>
      <w:r w:rsidRPr="00755E45">
        <w:rPr>
          <w:rFonts w:eastAsia="Times New Roman" w:cstheme="minorHAnsi"/>
          <w:sz w:val="26"/>
          <w:szCs w:val="26"/>
          <w:lang w:eastAsia="ru-RU"/>
        </w:rPr>
        <w:t>lors l’</w:t>
      </w:r>
      <w:r>
        <w:rPr>
          <w:rFonts w:eastAsia="Times New Roman" w:cstheme="minorHAnsi"/>
          <w:sz w:val="26"/>
          <w:szCs w:val="26"/>
          <w:lang w:eastAsia="ru-RU"/>
        </w:rPr>
        <w:t>année 2017, qui 100 ans après</w:t>
      </w:r>
      <w:r w:rsidRPr="00755E45">
        <w:rPr>
          <w:rFonts w:eastAsia="Times New Roman" w:cstheme="minorHAnsi"/>
          <w:sz w:val="26"/>
          <w:szCs w:val="26"/>
          <w:lang w:eastAsia="ru-RU"/>
        </w:rPr>
        <w:t xml:space="preserve"> la Révolution de 1917 posent les mêmes questions : ‘qui est propriétaire de quoi ?’ </w:t>
      </w:r>
      <w:r>
        <w:rPr>
          <w:rFonts w:eastAsia="Times New Roman" w:cstheme="minorHAnsi"/>
          <w:sz w:val="26"/>
          <w:szCs w:val="26"/>
          <w:lang w:eastAsia="ru-RU"/>
        </w:rPr>
        <w:t>et ‘quel</w:t>
      </w:r>
      <w:r w:rsidRPr="00755E45">
        <w:rPr>
          <w:rFonts w:eastAsia="Times New Roman" w:cstheme="minorHAnsi"/>
          <w:sz w:val="26"/>
          <w:szCs w:val="26"/>
          <w:lang w:eastAsia="ru-RU"/>
        </w:rPr>
        <w:t xml:space="preserve"> est niveau d’efficacité ?’. Afin de contribuer des ‘données concrètes’ au débat, l’étude : premièrement, analyse le procès de l’émergence des milliardaires, avec la concentration sur la légitimité et l’équité sociale ; and deuxièmement, évalue leur performance comparative. En analysant la période de </w:t>
      </w:r>
      <w:r>
        <w:rPr>
          <w:rFonts w:eastAsia="Times New Roman" w:cstheme="minorHAnsi"/>
          <w:sz w:val="26"/>
          <w:szCs w:val="26"/>
          <w:lang w:eastAsia="ru-RU"/>
        </w:rPr>
        <w:t xml:space="preserve">9 </w:t>
      </w:r>
      <w:r w:rsidRPr="00755E45">
        <w:rPr>
          <w:rFonts w:eastAsia="Times New Roman" w:cstheme="minorHAnsi"/>
          <w:sz w:val="26"/>
          <w:szCs w:val="26"/>
          <w:lang w:eastAsia="ru-RU"/>
        </w:rPr>
        <w:t>ans de 2007-15, il considère 300 entités juridiques, composé par 3 groups des entreprise</w:t>
      </w:r>
      <w:r>
        <w:rPr>
          <w:rFonts w:eastAsia="Times New Roman" w:cstheme="minorHAnsi"/>
          <w:sz w:val="26"/>
          <w:szCs w:val="26"/>
          <w:lang w:eastAsia="ru-RU"/>
        </w:rPr>
        <w:t>s : 100 de milliardaires, 100 du</w:t>
      </w:r>
      <w:r w:rsidRPr="00755E45">
        <w:rPr>
          <w:rFonts w:eastAsia="Times New Roman" w:cstheme="minorHAnsi"/>
          <w:sz w:val="26"/>
          <w:szCs w:val="26"/>
          <w:lang w:eastAsia="ru-RU"/>
        </w:rPr>
        <w:t xml:space="preserve"> gouvernement, et 100 des entrepreneurs. </w:t>
      </w:r>
      <w:r w:rsidRPr="00EF5A6D">
        <w:rPr>
          <w:rFonts w:eastAsia="Times New Roman" w:cstheme="minorHAnsi"/>
          <w:sz w:val="26"/>
          <w:szCs w:val="26"/>
          <w:lang w:eastAsia="ru-RU"/>
        </w:rPr>
        <w:t>À</w:t>
      </w:r>
      <w:r>
        <w:rPr>
          <w:rFonts w:eastAsia="Times New Roman" w:cstheme="minorHAnsi"/>
          <w:sz w:val="26"/>
          <w:szCs w:val="26"/>
          <w:lang w:eastAsia="ru-RU"/>
        </w:rPr>
        <w:t xml:space="preserve"> </w:t>
      </w:r>
      <w:r w:rsidRPr="00755E45">
        <w:rPr>
          <w:rFonts w:eastAsia="Times New Roman" w:cstheme="minorHAnsi"/>
          <w:sz w:val="26"/>
          <w:szCs w:val="26"/>
          <w:lang w:eastAsia="ru-RU"/>
        </w:rPr>
        <w:t>recueillir les différences en performance</w:t>
      </w:r>
      <w:r>
        <w:rPr>
          <w:rFonts w:eastAsia="Times New Roman" w:cstheme="minorHAnsi"/>
          <w:sz w:val="26"/>
          <w:szCs w:val="26"/>
          <w:lang w:eastAsia="ru-RU"/>
        </w:rPr>
        <w:t xml:space="preserve">, l’étude </w:t>
      </w:r>
      <w:r w:rsidRPr="00755E45">
        <w:rPr>
          <w:rFonts w:eastAsia="Times New Roman" w:cstheme="minorHAnsi"/>
          <w:sz w:val="26"/>
          <w:szCs w:val="26"/>
          <w:lang w:eastAsia="ru-RU"/>
        </w:rPr>
        <w:t>utilise 25 mesures financières</w:t>
      </w:r>
      <w:r>
        <w:rPr>
          <w:rFonts w:eastAsia="Times New Roman" w:cstheme="minorHAnsi"/>
          <w:sz w:val="26"/>
          <w:szCs w:val="26"/>
          <w:lang w:eastAsia="ru-RU"/>
        </w:rPr>
        <w:t>, dans</w:t>
      </w:r>
      <w:r w:rsidRPr="00755E45">
        <w:rPr>
          <w:rFonts w:eastAsia="Times New Roman" w:cstheme="minorHAnsi"/>
          <w:sz w:val="26"/>
          <w:szCs w:val="26"/>
          <w:lang w:eastAsia="ru-RU"/>
        </w:rPr>
        <w:t xml:space="preserve"> 2 catégories - 5 paramètres de comptabilité et 20 ratios financiers.</w:t>
      </w:r>
      <w:r>
        <w:rPr>
          <w:rFonts w:eastAsia="Times New Roman" w:cstheme="minorHAnsi"/>
          <w:sz w:val="26"/>
          <w:szCs w:val="26"/>
          <w:lang w:eastAsia="ru-RU"/>
        </w:rPr>
        <w:t xml:space="preserve"> </w:t>
      </w:r>
      <w:r w:rsidRPr="00755E45">
        <w:rPr>
          <w:rFonts w:eastAsia="Times New Roman" w:cstheme="minorHAnsi"/>
          <w:sz w:val="26"/>
          <w:szCs w:val="26"/>
          <w:lang w:eastAsia="ru-RU"/>
        </w:rPr>
        <w:t xml:space="preserve">Simultanément, le paradoxe </w:t>
      </w:r>
      <w:r>
        <w:rPr>
          <w:rFonts w:eastAsia="Times New Roman" w:cstheme="minorHAnsi"/>
          <w:sz w:val="26"/>
          <w:szCs w:val="26"/>
          <w:lang w:eastAsia="ru-RU"/>
        </w:rPr>
        <w:t xml:space="preserve">de sous-performance </w:t>
      </w:r>
      <w:r w:rsidRPr="00755E45">
        <w:rPr>
          <w:rFonts w:eastAsia="Times New Roman" w:cstheme="minorHAnsi"/>
          <w:sz w:val="26"/>
          <w:szCs w:val="26"/>
          <w:lang w:eastAsia="ru-RU"/>
        </w:rPr>
        <w:t xml:space="preserve">économique de </w:t>
      </w:r>
      <w:r>
        <w:rPr>
          <w:rFonts w:eastAsia="Times New Roman" w:cstheme="minorHAnsi"/>
          <w:sz w:val="26"/>
          <w:szCs w:val="26"/>
          <w:lang w:eastAsia="ru-RU"/>
        </w:rPr>
        <w:t xml:space="preserve">ce </w:t>
      </w:r>
      <w:r w:rsidRPr="00755E45">
        <w:rPr>
          <w:rFonts w:eastAsia="Times New Roman" w:cstheme="minorHAnsi"/>
          <w:sz w:val="26"/>
          <w:szCs w:val="26"/>
          <w:lang w:eastAsia="ru-RU"/>
        </w:rPr>
        <w:t xml:space="preserve">3 pays </w:t>
      </w:r>
      <w:r>
        <w:rPr>
          <w:rFonts w:eastAsia="Times New Roman" w:cstheme="minorHAnsi"/>
          <w:sz w:val="26"/>
          <w:szCs w:val="26"/>
          <w:lang w:eastAsia="ru-RU"/>
        </w:rPr>
        <w:t xml:space="preserve">pétroliers </w:t>
      </w:r>
      <w:r w:rsidRPr="00755E45">
        <w:rPr>
          <w:rFonts w:eastAsia="Times New Roman" w:cstheme="minorHAnsi"/>
          <w:sz w:val="26"/>
          <w:szCs w:val="26"/>
          <w:lang w:eastAsia="ru-RU"/>
        </w:rPr>
        <w:t>du Continent Eurasiatique est examiné</w:t>
      </w:r>
      <w:r>
        <w:rPr>
          <w:rFonts w:eastAsia="Times New Roman" w:cstheme="minorHAnsi"/>
          <w:sz w:val="26"/>
          <w:szCs w:val="26"/>
          <w:lang w:eastAsia="ru-RU"/>
        </w:rPr>
        <w:t xml:space="preserve">. Dans le but de </w:t>
      </w:r>
      <w:r w:rsidRPr="00755E45">
        <w:rPr>
          <w:rFonts w:eastAsia="Times New Roman" w:cstheme="minorHAnsi"/>
          <w:sz w:val="26"/>
          <w:szCs w:val="26"/>
          <w:lang w:eastAsia="ru-RU"/>
        </w:rPr>
        <w:t xml:space="preserve">surmonter les adversités </w:t>
      </w:r>
      <w:r>
        <w:rPr>
          <w:rFonts w:eastAsia="Times New Roman" w:cstheme="minorHAnsi"/>
          <w:sz w:val="26"/>
          <w:szCs w:val="26"/>
          <w:lang w:eastAsia="ru-RU"/>
        </w:rPr>
        <w:t>de la route axée</w:t>
      </w:r>
      <w:r w:rsidRPr="00755E45">
        <w:rPr>
          <w:rFonts w:eastAsia="Times New Roman" w:cstheme="minorHAnsi"/>
          <w:sz w:val="26"/>
          <w:szCs w:val="26"/>
          <w:lang w:eastAsia="ru-RU"/>
        </w:rPr>
        <w:t xml:space="preserve"> sur les ressources naturelles, l’étude </w:t>
      </w:r>
      <w:r>
        <w:rPr>
          <w:rFonts w:eastAsia="Times New Roman" w:cstheme="minorHAnsi"/>
          <w:sz w:val="26"/>
          <w:szCs w:val="26"/>
          <w:lang w:eastAsia="ru-RU"/>
        </w:rPr>
        <w:t>suggère : 1. le</w:t>
      </w:r>
      <w:r w:rsidRPr="006225C8">
        <w:rPr>
          <w:rFonts w:eastAsia="Times New Roman" w:cstheme="minorHAnsi"/>
          <w:sz w:val="26"/>
          <w:szCs w:val="26"/>
          <w:lang w:eastAsia="ru-RU"/>
        </w:rPr>
        <w:t xml:space="preserve"> nouveau </w:t>
      </w:r>
      <w:r w:rsidRPr="00755E45">
        <w:rPr>
          <w:rFonts w:eastAsia="Times New Roman" w:cstheme="minorHAnsi"/>
          <w:sz w:val="26"/>
          <w:szCs w:val="26"/>
          <w:lang w:eastAsia="ru-RU"/>
        </w:rPr>
        <w:t>cadre analytique</w:t>
      </w:r>
      <w:r>
        <w:rPr>
          <w:rFonts w:eastAsia="Times New Roman" w:cstheme="minorHAnsi"/>
          <w:sz w:val="26"/>
          <w:szCs w:val="26"/>
          <w:lang w:eastAsia="ru-RU"/>
        </w:rPr>
        <w:t> : l’</w:t>
      </w:r>
      <w:r w:rsidRPr="00755E45">
        <w:rPr>
          <w:rFonts w:eastAsia="Times New Roman" w:cstheme="minorHAnsi"/>
          <w:sz w:val="26"/>
          <w:szCs w:val="26"/>
          <w:lang w:eastAsia="ru-RU"/>
        </w:rPr>
        <w:t xml:space="preserve">algorithme diagnostique et </w:t>
      </w:r>
      <w:r>
        <w:rPr>
          <w:rFonts w:eastAsia="Times New Roman" w:cstheme="minorHAnsi"/>
          <w:sz w:val="26"/>
          <w:szCs w:val="26"/>
          <w:lang w:eastAsia="ru-RU"/>
        </w:rPr>
        <w:t xml:space="preserve">le </w:t>
      </w:r>
      <w:r w:rsidRPr="00755E45">
        <w:rPr>
          <w:rFonts w:eastAsia="Times New Roman" w:cstheme="minorHAnsi"/>
          <w:sz w:val="26"/>
          <w:szCs w:val="26"/>
          <w:lang w:eastAsia="ru-RU"/>
        </w:rPr>
        <w:t>modèle du procès</w:t>
      </w:r>
      <w:r>
        <w:rPr>
          <w:rFonts w:eastAsia="Times New Roman" w:cstheme="minorHAnsi"/>
          <w:sz w:val="26"/>
          <w:szCs w:val="26"/>
          <w:lang w:eastAsia="ru-RU"/>
        </w:rPr>
        <w:t xml:space="preserve"> </w:t>
      </w:r>
      <w:r w:rsidRPr="00755E45">
        <w:rPr>
          <w:rFonts w:eastAsia="Times New Roman" w:cstheme="minorHAnsi"/>
          <w:sz w:val="26"/>
          <w:szCs w:val="26"/>
          <w:lang w:eastAsia="ru-RU"/>
        </w:rPr>
        <w:t>;</w:t>
      </w:r>
      <w:r>
        <w:rPr>
          <w:rFonts w:eastAsia="Times New Roman" w:cstheme="minorHAnsi"/>
          <w:sz w:val="26"/>
          <w:szCs w:val="26"/>
          <w:lang w:eastAsia="ru-RU"/>
        </w:rPr>
        <w:t xml:space="preserve"> 2. le </w:t>
      </w:r>
      <w:r w:rsidRPr="00755E45">
        <w:rPr>
          <w:rFonts w:eastAsia="Times New Roman" w:cstheme="minorHAnsi"/>
          <w:sz w:val="26"/>
          <w:szCs w:val="26"/>
          <w:lang w:eastAsia="ru-RU"/>
        </w:rPr>
        <w:t>modèle de croissance</w:t>
      </w:r>
      <w:r>
        <w:rPr>
          <w:rFonts w:eastAsia="Times New Roman" w:cstheme="minorHAnsi"/>
          <w:sz w:val="26"/>
          <w:szCs w:val="26"/>
          <w:lang w:eastAsia="ru-RU"/>
        </w:rPr>
        <w:t>,</w:t>
      </w:r>
      <w:r w:rsidRPr="00B95F65">
        <w:rPr>
          <w:rFonts w:eastAsia="Times New Roman" w:cstheme="minorHAnsi"/>
          <w:sz w:val="26"/>
          <w:szCs w:val="26"/>
          <w:lang w:eastAsia="ru-RU"/>
        </w:rPr>
        <w:t xml:space="preserve"> </w:t>
      </w:r>
      <w:r>
        <w:rPr>
          <w:rFonts w:eastAsia="Times New Roman" w:cstheme="minorHAnsi"/>
          <w:sz w:val="26"/>
          <w:szCs w:val="26"/>
          <w:lang w:eastAsia="ru-RU"/>
        </w:rPr>
        <w:t xml:space="preserve">incluant le pétrole et les institutions ; 3. le </w:t>
      </w:r>
      <w:r w:rsidRPr="00755E45">
        <w:rPr>
          <w:rFonts w:eastAsia="Times New Roman" w:cstheme="minorHAnsi"/>
          <w:sz w:val="26"/>
          <w:szCs w:val="26"/>
          <w:lang w:eastAsia="ru-RU"/>
        </w:rPr>
        <w:t>modèle empirique</w:t>
      </w:r>
      <w:r>
        <w:rPr>
          <w:rFonts w:eastAsia="Times New Roman" w:cstheme="minorHAnsi"/>
          <w:sz w:val="26"/>
          <w:szCs w:val="26"/>
          <w:lang w:eastAsia="ru-RU"/>
        </w:rPr>
        <w:t>, exposant les liens des éléments d’analyse avec</w:t>
      </w:r>
      <w:r w:rsidRPr="00EF5A6D">
        <w:rPr>
          <w:rFonts w:eastAsia="Times New Roman" w:cstheme="minorHAnsi"/>
          <w:sz w:val="26"/>
          <w:szCs w:val="26"/>
          <w:lang w:eastAsia="ru-RU"/>
        </w:rPr>
        <w:t xml:space="preserve"> </w:t>
      </w:r>
      <w:r>
        <w:rPr>
          <w:rFonts w:eastAsia="Times New Roman" w:cstheme="minorHAnsi"/>
          <w:sz w:val="26"/>
          <w:szCs w:val="26"/>
          <w:lang w:eastAsia="ru-RU"/>
        </w:rPr>
        <w:t>la dynamique macro</w:t>
      </w:r>
      <w:r w:rsidRPr="00755E45">
        <w:rPr>
          <w:rFonts w:eastAsia="Times New Roman" w:cstheme="minorHAnsi"/>
          <w:sz w:val="26"/>
          <w:szCs w:val="26"/>
          <w:lang w:eastAsia="ru-RU"/>
        </w:rPr>
        <w:t>économique</w:t>
      </w:r>
      <w:r>
        <w:rPr>
          <w:rFonts w:eastAsia="Times New Roman" w:cstheme="minorHAnsi"/>
          <w:sz w:val="26"/>
          <w:szCs w:val="26"/>
          <w:lang w:eastAsia="ru-RU"/>
        </w:rPr>
        <w:t>.</w:t>
      </w:r>
    </w:p>
    <w:p w:rsidR="00F600EE" w:rsidRDefault="00F600EE" w:rsidP="00F600EE">
      <w:pPr>
        <w:jc w:val="center"/>
      </w:pPr>
      <w:bookmarkStart w:id="1" w:name="_GoBack"/>
      <w:bookmarkEnd w:id="1"/>
      <w:r>
        <w:rPr>
          <w:rFonts w:eastAsia="Times New Roman" w:cstheme="minorHAnsi"/>
          <w:sz w:val="26"/>
          <w:szCs w:val="26"/>
          <w:lang w:eastAsia="ru-RU"/>
        </w:rPr>
        <w:t>J</w:t>
      </w:r>
      <w:r>
        <w:rPr>
          <w:rFonts w:eastAsia="Times New Roman" w:cstheme="minorHAnsi"/>
          <w:sz w:val="26"/>
          <w:szCs w:val="26"/>
          <w:lang w:eastAsia="ru-RU"/>
        </w:rPr>
        <w:t>ury</w:t>
      </w:r>
    </w:p>
    <w:p w:rsidR="00F600EE" w:rsidRDefault="00F600EE"/>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8001"/>
      </w:tblGrid>
      <w:tr w:rsidR="00F600EE" w:rsidRPr="003B4ACD" w:rsidTr="00F600EE">
        <w:tc>
          <w:tcPr>
            <w:tcW w:w="2085" w:type="dxa"/>
            <w:tcMar>
              <w:left w:w="0" w:type="dxa"/>
              <w:right w:w="0" w:type="dxa"/>
            </w:tcMar>
          </w:tcPr>
          <w:p w:rsidR="00F600EE" w:rsidRDefault="00F600EE" w:rsidP="00591741">
            <w:pPr>
              <w:rPr>
                <w:rFonts w:ascii="Calibri" w:eastAsia="Calibri" w:hAnsi="Calibri" w:cs="Times New Roman"/>
                <w:color w:val="000000"/>
                <w:sz w:val="32"/>
                <w:lang w:val="fr-FR"/>
              </w:rPr>
            </w:pPr>
            <w:r w:rsidRPr="00CC0AA0">
              <w:rPr>
                <w:rFonts w:eastAsia="Times New Roman" w:cstheme="minorHAnsi"/>
                <w:sz w:val="26"/>
                <w:szCs w:val="26"/>
                <w:lang w:val="fr-FR" w:eastAsia="ru-RU"/>
              </w:rPr>
              <w:t xml:space="preserve">Président </w:t>
            </w:r>
            <w:r>
              <w:rPr>
                <w:rFonts w:eastAsia="Times New Roman" w:cstheme="minorHAnsi"/>
                <w:sz w:val="26"/>
                <w:szCs w:val="26"/>
                <w:lang w:val="fr-FR" w:eastAsia="ru-RU"/>
              </w:rPr>
              <w:t>du jury:</w:t>
            </w:r>
          </w:p>
        </w:tc>
        <w:tc>
          <w:tcPr>
            <w:tcW w:w="8001" w:type="dxa"/>
            <w:tcMar>
              <w:left w:w="0" w:type="dxa"/>
            </w:tcMar>
          </w:tcPr>
          <w:p w:rsidR="00F600EE" w:rsidRDefault="00F600EE" w:rsidP="00591741">
            <w:pPr>
              <w:rPr>
                <w:rFonts w:eastAsia="Times New Roman" w:cstheme="minorHAnsi"/>
                <w:sz w:val="26"/>
                <w:szCs w:val="26"/>
                <w:lang w:val="fr-FR" w:eastAsia="ru-RU"/>
              </w:rPr>
            </w:pPr>
            <w:r w:rsidRPr="00CC0AA0">
              <w:rPr>
                <w:rFonts w:eastAsia="Times New Roman" w:cstheme="minorHAnsi"/>
                <w:sz w:val="26"/>
                <w:szCs w:val="26"/>
                <w:lang w:val="fr-FR" w:eastAsia="ru-RU"/>
              </w:rPr>
              <w:t xml:space="preserve">M. Antoine Rebérioux, Professeur à l’USPC - </w:t>
            </w:r>
            <w:r w:rsidRPr="002D0953">
              <w:rPr>
                <w:rFonts w:eastAsia="Times New Roman" w:cstheme="minorHAnsi"/>
                <w:sz w:val="26"/>
                <w:szCs w:val="26"/>
                <w:lang w:val="fr-FR" w:eastAsia="ru-RU"/>
              </w:rPr>
              <w:t>l’Université Paris Diderot</w:t>
            </w:r>
          </w:p>
          <w:p w:rsidR="00F600EE" w:rsidRPr="003B4ACD" w:rsidRDefault="00F600EE" w:rsidP="00591741">
            <w:pPr>
              <w:rPr>
                <w:rFonts w:ascii="Calibri" w:eastAsia="Calibri" w:hAnsi="Calibri" w:cs="Times New Roman"/>
                <w:color w:val="000000"/>
                <w:sz w:val="10"/>
                <w:szCs w:val="10"/>
                <w:lang w:val="fr-FR"/>
              </w:rPr>
            </w:pPr>
          </w:p>
        </w:tc>
      </w:tr>
      <w:tr w:rsidR="00F600EE" w:rsidRPr="003B4ACD" w:rsidTr="00F600EE">
        <w:tc>
          <w:tcPr>
            <w:tcW w:w="2085" w:type="dxa"/>
            <w:tcMar>
              <w:left w:w="0" w:type="dxa"/>
            </w:tcMar>
          </w:tcPr>
          <w:p w:rsidR="00F600EE" w:rsidRDefault="00F600EE" w:rsidP="00591741">
            <w:pPr>
              <w:rPr>
                <w:rFonts w:ascii="Calibri" w:eastAsia="Calibri" w:hAnsi="Calibri" w:cs="Times New Roman"/>
                <w:color w:val="000000"/>
                <w:sz w:val="32"/>
                <w:lang w:val="fr-FR"/>
              </w:rPr>
            </w:pPr>
            <w:r w:rsidRPr="00CC0AA0">
              <w:rPr>
                <w:rFonts w:eastAsia="Times New Roman" w:cstheme="minorHAnsi"/>
                <w:sz w:val="26"/>
                <w:szCs w:val="26"/>
                <w:lang w:val="fr-FR" w:eastAsia="ru-RU"/>
              </w:rPr>
              <w:t>Rapporteur</w:t>
            </w:r>
            <w:r>
              <w:rPr>
                <w:rFonts w:eastAsia="Times New Roman" w:cstheme="minorHAnsi"/>
                <w:sz w:val="26"/>
                <w:szCs w:val="26"/>
                <w:lang w:val="fr-FR" w:eastAsia="ru-RU"/>
              </w:rPr>
              <w:t>s:</w:t>
            </w:r>
          </w:p>
        </w:tc>
        <w:tc>
          <w:tcPr>
            <w:tcW w:w="8001" w:type="dxa"/>
            <w:tcMar>
              <w:left w:w="0" w:type="dxa"/>
            </w:tcMar>
          </w:tcPr>
          <w:p w:rsidR="00F600EE" w:rsidRDefault="00F600EE" w:rsidP="00591741">
            <w:pPr>
              <w:rPr>
                <w:rFonts w:eastAsia="Times New Roman" w:cstheme="minorHAnsi"/>
                <w:sz w:val="26"/>
                <w:szCs w:val="26"/>
                <w:lang w:val="fr-FR" w:eastAsia="ru-RU"/>
              </w:rPr>
            </w:pPr>
            <w:r w:rsidRPr="00CC0AA0">
              <w:rPr>
                <w:rFonts w:eastAsia="Times New Roman" w:cstheme="minorHAnsi"/>
                <w:sz w:val="26"/>
                <w:szCs w:val="26"/>
                <w:lang w:val="fr-FR" w:eastAsia="ru-RU"/>
              </w:rPr>
              <w:t>M.</w:t>
            </w:r>
            <w:r w:rsidRPr="00CC0AA0">
              <w:rPr>
                <w:rFonts w:cstheme="minorHAnsi"/>
                <w:sz w:val="26"/>
                <w:szCs w:val="26"/>
                <w:lang w:val="fr-FR"/>
              </w:rPr>
              <w:t xml:space="preserve"> </w:t>
            </w:r>
            <w:proofErr w:type="spellStart"/>
            <w:r w:rsidRPr="00CC0AA0">
              <w:rPr>
                <w:rFonts w:eastAsia="Times New Roman" w:cstheme="minorHAnsi"/>
                <w:sz w:val="26"/>
                <w:szCs w:val="26"/>
                <w:lang w:val="fr-FR" w:eastAsia="ru-RU"/>
              </w:rPr>
              <w:t>Nikolay</w:t>
            </w:r>
            <w:proofErr w:type="spellEnd"/>
            <w:r w:rsidRPr="00CC0AA0">
              <w:rPr>
                <w:rFonts w:eastAsia="Times New Roman" w:cstheme="minorHAnsi"/>
                <w:sz w:val="26"/>
                <w:szCs w:val="26"/>
                <w:lang w:val="fr-FR" w:eastAsia="ru-RU"/>
              </w:rPr>
              <w:t xml:space="preserve"> Nenovsky, Professeur à </w:t>
            </w:r>
            <w:r w:rsidRPr="00CC0AA0">
              <w:rPr>
                <w:rFonts w:cstheme="minorHAnsi"/>
                <w:sz w:val="26"/>
                <w:szCs w:val="26"/>
                <w:lang w:val="fr-FR"/>
              </w:rPr>
              <w:t>l’</w:t>
            </w:r>
            <w:r w:rsidRPr="00CC0AA0">
              <w:rPr>
                <w:rFonts w:eastAsia="Times New Roman" w:cstheme="minorHAnsi"/>
                <w:sz w:val="26"/>
                <w:szCs w:val="26"/>
                <w:lang w:val="fr-FR" w:eastAsia="ru-RU"/>
              </w:rPr>
              <w:t>Univ</w:t>
            </w:r>
            <w:r>
              <w:rPr>
                <w:rFonts w:eastAsia="Times New Roman" w:cstheme="minorHAnsi"/>
                <w:sz w:val="26"/>
                <w:szCs w:val="26"/>
                <w:lang w:val="fr-FR" w:eastAsia="ru-RU"/>
              </w:rPr>
              <w:t>ersité de Picardie-Jules-Verne</w:t>
            </w:r>
          </w:p>
          <w:p w:rsidR="00F600EE" w:rsidRPr="003B4ACD" w:rsidRDefault="00F600EE" w:rsidP="00591741">
            <w:pPr>
              <w:rPr>
                <w:rFonts w:ascii="Calibri" w:eastAsia="Calibri" w:hAnsi="Calibri" w:cs="Times New Roman"/>
                <w:color w:val="000000"/>
                <w:sz w:val="10"/>
                <w:szCs w:val="10"/>
                <w:lang w:val="fr-FR"/>
              </w:rPr>
            </w:pPr>
          </w:p>
        </w:tc>
      </w:tr>
      <w:tr w:rsidR="00F600EE" w:rsidRPr="003B4ACD" w:rsidTr="00F600EE">
        <w:tc>
          <w:tcPr>
            <w:tcW w:w="2085" w:type="dxa"/>
            <w:tcMar>
              <w:left w:w="0" w:type="dxa"/>
            </w:tcMar>
          </w:tcPr>
          <w:p w:rsidR="00F600EE" w:rsidRDefault="00F600EE" w:rsidP="00591741">
            <w:pPr>
              <w:jc w:val="center"/>
              <w:rPr>
                <w:rFonts w:ascii="Calibri" w:eastAsia="Calibri" w:hAnsi="Calibri" w:cs="Times New Roman"/>
                <w:color w:val="000000"/>
                <w:sz w:val="32"/>
                <w:lang w:val="fr-FR"/>
              </w:rPr>
            </w:pPr>
          </w:p>
        </w:tc>
        <w:tc>
          <w:tcPr>
            <w:tcW w:w="8001" w:type="dxa"/>
            <w:tcMar>
              <w:left w:w="0" w:type="dxa"/>
            </w:tcMar>
          </w:tcPr>
          <w:p w:rsidR="00F600EE" w:rsidRDefault="00F600EE" w:rsidP="00591741">
            <w:pPr>
              <w:rPr>
                <w:rFonts w:eastAsia="Times New Roman" w:cstheme="minorHAnsi"/>
                <w:sz w:val="26"/>
                <w:szCs w:val="26"/>
                <w:lang w:val="fr-FR" w:eastAsia="ru-RU"/>
              </w:rPr>
            </w:pPr>
            <w:r w:rsidRPr="00CC0AA0">
              <w:rPr>
                <w:rFonts w:eastAsia="Times New Roman" w:cstheme="minorHAnsi"/>
                <w:sz w:val="26"/>
                <w:szCs w:val="26"/>
                <w:lang w:val="fr-FR" w:eastAsia="ru-RU"/>
              </w:rPr>
              <w:t xml:space="preserve">Mme. Camelia Turcu, Professeur à </w:t>
            </w:r>
            <w:r w:rsidRPr="00CC0AA0">
              <w:rPr>
                <w:rFonts w:cstheme="minorHAnsi"/>
                <w:sz w:val="26"/>
                <w:szCs w:val="26"/>
                <w:lang w:val="fr-FR"/>
              </w:rPr>
              <w:t>l’</w:t>
            </w:r>
            <w:r w:rsidRPr="00CC0AA0">
              <w:rPr>
                <w:rFonts w:eastAsia="Times New Roman" w:cstheme="minorHAnsi"/>
                <w:sz w:val="26"/>
                <w:szCs w:val="26"/>
                <w:lang w:val="fr-FR" w:eastAsia="ru-RU"/>
              </w:rPr>
              <w:t>Université d'Orléans</w:t>
            </w:r>
          </w:p>
          <w:p w:rsidR="00F600EE" w:rsidRPr="003B4ACD" w:rsidRDefault="00F600EE" w:rsidP="00591741">
            <w:pPr>
              <w:rPr>
                <w:rFonts w:ascii="Calibri" w:eastAsia="Calibri" w:hAnsi="Calibri" w:cs="Times New Roman"/>
                <w:color w:val="000000"/>
                <w:sz w:val="10"/>
                <w:szCs w:val="10"/>
                <w:lang w:val="fr-FR"/>
              </w:rPr>
            </w:pPr>
          </w:p>
        </w:tc>
      </w:tr>
      <w:tr w:rsidR="00F600EE" w:rsidRPr="003B4ACD" w:rsidTr="00F600EE">
        <w:tc>
          <w:tcPr>
            <w:tcW w:w="2085" w:type="dxa"/>
            <w:tcMar>
              <w:left w:w="0" w:type="dxa"/>
            </w:tcMar>
          </w:tcPr>
          <w:p w:rsidR="00F600EE" w:rsidRDefault="00F600EE" w:rsidP="00591741">
            <w:pPr>
              <w:rPr>
                <w:rFonts w:ascii="Calibri" w:eastAsia="Calibri" w:hAnsi="Calibri" w:cs="Times New Roman"/>
                <w:color w:val="000000"/>
                <w:sz w:val="32"/>
                <w:lang w:val="fr-FR"/>
              </w:rPr>
            </w:pPr>
            <w:r>
              <w:rPr>
                <w:rFonts w:eastAsia="Times New Roman" w:cstheme="minorHAnsi"/>
                <w:sz w:val="26"/>
                <w:szCs w:val="26"/>
                <w:lang w:val="fr-FR" w:eastAsia="ru-RU"/>
              </w:rPr>
              <w:t>Examinateurs:</w:t>
            </w:r>
          </w:p>
        </w:tc>
        <w:tc>
          <w:tcPr>
            <w:tcW w:w="8001" w:type="dxa"/>
            <w:tcMar>
              <w:left w:w="0" w:type="dxa"/>
            </w:tcMar>
          </w:tcPr>
          <w:p w:rsidR="00F600EE" w:rsidRDefault="00F600EE" w:rsidP="00591741">
            <w:pPr>
              <w:rPr>
                <w:rFonts w:eastAsia="Times New Roman" w:cstheme="minorHAnsi"/>
                <w:sz w:val="26"/>
                <w:szCs w:val="26"/>
                <w:lang w:val="fr-FR" w:eastAsia="ru-RU"/>
              </w:rPr>
            </w:pPr>
            <w:r w:rsidRPr="00CC0AA0">
              <w:rPr>
                <w:rFonts w:eastAsia="Times New Roman" w:cstheme="minorHAnsi"/>
                <w:sz w:val="26"/>
                <w:szCs w:val="26"/>
                <w:lang w:val="fr-FR" w:eastAsia="ru-RU"/>
              </w:rPr>
              <w:t xml:space="preserve">M. Julien </w:t>
            </w:r>
            <w:proofErr w:type="spellStart"/>
            <w:r w:rsidRPr="00CC0AA0">
              <w:rPr>
                <w:rFonts w:eastAsia="Times New Roman" w:cstheme="minorHAnsi"/>
                <w:sz w:val="26"/>
                <w:szCs w:val="26"/>
                <w:lang w:val="fr-FR" w:eastAsia="ru-RU"/>
              </w:rPr>
              <w:t>Vercueil</w:t>
            </w:r>
            <w:proofErr w:type="spellEnd"/>
            <w:r w:rsidRPr="00CC0AA0">
              <w:rPr>
                <w:rFonts w:eastAsia="Times New Roman" w:cstheme="minorHAnsi"/>
                <w:sz w:val="26"/>
                <w:szCs w:val="26"/>
                <w:lang w:val="fr-FR" w:eastAsia="ru-RU"/>
              </w:rPr>
              <w:t>, Maître de conférences à l’</w:t>
            </w:r>
            <w:r>
              <w:rPr>
                <w:rFonts w:eastAsia="Times New Roman" w:cstheme="minorHAnsi"/>
                <w:sz w:val="26"/>
                <w:szCs w:val="26"/>
                <w:lang w:val="fr-FR" w:eastAsia="ru-RU"/>
              </w:rPr>
              <w:t>INALCO</w:t>
            </w:r>
          </w:p>
          <w:p w:rsidR="00F600EE" w:rsidRPr="003B4ACD" w:rsidRDefault="00F600EE" w:rsidP="00591741">
            <w:pPr>
              <w:rPr>
                <w:rFonts w:ascii="Calibri" w:eastAsia="Calibri" w:hAnsi="Calibri" w:cs="Times New Roman"/>
                <w:color w:val="000000"/>
                <w:sz w:val="10"/>
                <w:szCs w:val="10"/>
                <w:lang w:val="fr-FR"/>
              </w:rPr>
            </w:pPr>
          </w:p>
        </w:tc>
      </w:tr>
      <w:tr w:rsidR="00F600EE" w:rsidRPr="003B4ACD" w:rsidTr="00F600EE">
        <w:tc>
          <w:tcPr>
            <w:tcW w:w="2085" w:type="dxa"/>
            <w:tcMar>
              <w:left w:w="0" w:type="dxa"/>
            </w:tcMar>
          </w:tcPr>
          <w:p w:rsidR="00F600EE" w:rsidRDefault="00F600EE" w:rsidP="00591741">
            <w:pPr>
              <w:jc w:val="center"/>
              <w:rPr>
                <w:rFonts w:ascii="Calibri" w:eastAsia="Calibri" w:hAnsi="Calibri" w:cs="Times New Roman"/>
                <w:color w:val="000000"/>
                <w:sz w:val="32"/>
                <w:lang w:val="fr-FR"/>
              </w:rPr>
            </w:pPr>
          </w:p>
        </w:tc>
        <w:tc>
          <w:tcPr>
            <w:tcW w:w="8001" w:type="dxa"/>
            <w:tcMar>
              <w:left w:w="0" w:type="dxa"/>
            </w:tcMar>
          </w:tcPr>
          <w:p w:rsidR="00F600EE" w:rsidRDefault="00F600EE" w:rsidP="00591741">
            <w:pPr>
              <w:rPr>
                <w:rFonts w:eastAsia="Times New Roman" w:cstheme="minorHAnsi"/>
                <w:sz w:val="26"/>
                <w:szCs w:val="26"/>
                <w:lang w:val="fr-FR" w:eastAsia="ru-RU"/>
              </w:rPr>
            </w:pPr>
            <w:r w:rsidRPr="00CC0AA0">
              <w:rPr>
                <w:rFonts w:eastAsia="Times New Roman" w:cstheme="minorHAnsi"/>
                <w:sz w:val="26"/>
                <w:szCs w:val="26"/>
                <w:lang w:val="fr-FR" w:eastAsia="ru-RU"/>
              </w:rPr>
              <w:t>M. Pierre-Alain Jayet, Directeur de recherche à l’INRA</w:t>
            </w:r>
          </w:p>
          <w:p w:rsidR="00F600EE" w:rsidRPr="003B4ACD" w:rsidRDefault="00F600EE" w:rsidP="00591741">
            <w:pPr>
              <w:rPr>
                <w:rFonts w:ascii="Calibri" w:eastAsia="Calibri" w:hAnsi="Calibri" w:cs="Times New Roman"/>
                <w:color w:val="000000"/>
                <w:sz w:val="10"/>
                <w:szCs w:val="10"/>
                <w:lang w:val="fr-FR"/>
              </w:rPr>
            </w:pPr>
          </w:p>
        </w:tc>
      </w:tr>
      <w:tr w:rsidR="00F600EE" w:rsidRPr="003B4ACD" w:rsidTr="00F600EE">
        <w:tc>
          <w:tcPr>
            <w:tcW w:w="2085" w:type="dxa"/>
            <w:tcMar>
              <w:left w:w="0" w:type="dxa"/>
            </w:tcMar>
          </w:tcPr>
          <w:p w:rsidR="00F600EE" w:rsidRDefault="00F600EE" w:rsidP="00591741">
            <w:pPr>
              <w:ind w:right="-148"/>
              <w:rPr>
                <w:rFonts w:ascii="Calibri" w:eastAsia="Calibri" w:hAnsi="Calibri" w:cs="Times New Roman"/>
                <w:color w:val="000000"/>
                <w:sz w:val="32"/>
                <w:lang w:val="fr-FR"/>
              </w:rPr>
            </w:pPr>
            <w:r w:rsidRPr="00CC0AA0">
              <w:rPr>
                <w:rFonts w:eastAsia="Times New Roman" w:cstheme="minorHAnsi"/>
                <w:sz w:val="26"/>
                <w:szCs w:val="26"/>
                <w:lang w:val="fr-FR" w:eastAsia="ru-RU"/>
              </w:rPr>
              <w:t>Directeur</w:t>
            </w:r>
            <w:r>
              <w:rPr>
                <w:rFonts w:eastAsia="Times New Roman" w:cstheme="minorHAnsi"/>
                <w:sz w:val="26"/>
                <w:szCs w:val="26"/>
                <w:lang w:val="fr-FR" w:eastAsia="ru-RU"/>
              </w:rPr>
              <w:t xml:space="preserve"> de thèse:</w:t>
            </w:r>
          </w:p>
        </w:tc>
        <w:tc>
          <w:tcPr>
            <w:tcW w:w="8001" w:type="dxa"/>
            <w:tcMar>
              <w:left w:w="0" w:type="dxa"/>
            </w:tcMar>
          </w:tcPr>
          <w:p w:rsidR="00F600EE" w:rsidRDefault="00F600EE" w:rsidP="00591741">
            <w:pPr>
              <w:rPr>
                <w:rFonts w:eastAsia="Times New Roman" w:cstheme="minorHAnsi"/>
                <w:sz w:val="26"/>
                <w:szCs w:val="26"/>
                <w:lang w:val="fr-FR" w:eastAsia="ru-RU"/>
              </w:rPr>
            </w:pPr>
            <w:r w:rsidRPr="00CC0AA0">
              <w:rPr>
                <w:rFonts w:eastAsia="Times New Roman" w:cstheme="minorHAnsi"/>
                <w:sz w:val="26"/>
                <w:szCs w:val="26"/>
                <w:lang w:val="fr-FR" w:eastAsia="ru-RU"/>
              </w:rPr>
              <w:t xml:space="preserve">M. Éric Magnin, Maître de conférences à l’USPC - </w:t>
            </w:r>
            <w:r w:rsidRPr="002D0953">
              <w:rPr>
                <w:rFonts w:eastAsia="Times New Roman" w:cstheme="minorHAnsi"/>
                <w:sz w:val="26"/>
                <w:szCs w:val="26"/>
                <w:lang w:val="fr-FR" w:eastAsia="ru-RU"/>
              </w:rPr>
              <w:t>l’Université Paris Diderot</w:t>
            </w:r>
          </w:p>
          <w:p w:rsidR="00F600EE" w:rsidRPr="003B4ACD" w:rsidRDefault="00F600EE" w:rsidP="00591741">
            <w:pPr>
              <w:rPr>
                <w:rFonts w:ascii="Calibri" w:eastAsia="Calibri" w:hAnsi="Calibri" w:cs="Times New Roman"/>
                <w:color w:val="000000"/>
                <w:sz w:val="10"/>
                <w:szCs w:val="10"/>
                <w:lang w:val="fr-FR"/>
              </w:rPr>
            </w:pPr>
          </w:p>
        </w:tc>
      </w:tr>
    </w:tbl>
    <w:p w:rsidR="00F600EE" w:rsidRDefault="00F600EE"/>
    <w:sectPr w:rsidR="00F600EE" w:rsidSect="00F600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96F"/>
    <w:rsid w:val="008C0D7F"/>
    <w:rsid w:val="00CB33AB"/>
    <w:rsid w:val="00F600EE"/>
    <w:rsid w:val="00FA79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600EE"/>
    <w:pPr>
      <w:keepNext/>
      <w:keepLines/>
      <w:spacing w:after="240"/>
      <w:jc w:val="both"/>
      <w:outlineLvl w:val="0"/>
    </w:pPr>
    <w:rPr>
      <w:rFonts w:asciiTheme="majorHAnsi" w:eastAsiaTheme="majorEastAsia" w:hAnsiTheme="majorHAnsi" w:cstheme="majorBidi"/>
      <w:b/>
      <w:bCs/>
      <w:color w:val="144D73"/>
      <w:sz w:val="32"/>
      <w:szCs w:val="2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00E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600EE"/>
    <w:rPr>
      <w:rFonts w:asciiTheme="majorHAnsi" w:eastAsiaTheme="majorEastAsia" w:hAnsiTheme="majorHAnsi" w:cstheme="majorBidi"/>
      <w:b/>
      <w:bCs/>
      <w:color w:val="144D73"/>
      <w:sz w:val="32"/>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600EE"/>
    <w:pPr>
      <w:keepNext/>
      <w:keepLines/>
      <w:spacing w:after="240"/>
      <w:jc w:val="both"/>
      <w:outlineLvl w:val="0"/>
    </w:pPr>
    <w:rPr>
      <w:rFonts w:asciiTheme="majorHAnsi" w:eastAsiaTheme="majorEastAsia" w:hAnsiTheme="majorHAnsi" w:cstheme="majorBidi"/>
      <w:b/>
      <w:bCs/>
      <w:color w:val="144D73"/>
      <w:sz w:val="32"/>
      <w:szCs w:val="2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00E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600EE"/>
    <w:rPr>
      <w:rFonts w:asciiTheme="majorHAnsi" w:eastAsiaTheme="majorEastAsia" w:hAnsiTheme="majorHAnsi" w:cstheme="majorBidi"/>
      <w:b/>
      <w:bCs/>
      <w:color w:val="144D73"/>
      <w:sz w:val="32"/>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367</Words>
  <Characters>2023</Characters>
  <Application>Microsoft Office Word</Application>
  <DocSecurity>0</DocSecurity>
  <Lines>16</Lines>
  <Paragraphs>4</Paragraphs>
  <ScaleCrop>false</ScaleCrop>
  <Company>Université Paris Diderot</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Ladyss</dc:creator>
  <cp:keywords/>
  <dc:description/>
  <cp:lastModifiedBy>Ladyss</cp:lastModifiedBy>
  <cp:revision>3</cp:revision>
  <dcterms:created xsi:type="dcterms:W3CDTF">2017-11-22T12:45:00Z</dcterms:created>
  <dcterms:modified xsi:type="dcterms:W3CDTF">2017-11-22T12:52:00Z</dcterms:modified>
</cp:coreProperties>
</file>