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49" w:rsidRPr="00056F49" w:rsidRDefault="00056F49" w:rsidP="00056F49">
      <w:pPr>
        <w:jc w:val="center"/>
        <w:rPr>
          <w:rFonts w:ascii="Arial" w:hAnsi="Arial"/>
          <w:color w:val="000000"/>
          <w:sz w:val="20"/>
          <w:szCs w:val="20"/>
        </w:rPr>
      </w:pPr>
      <w:bookmarkStart w:id="0" w:name="_GoBack"/>
      <w:bookmarkEnd w:id="0"/>
      <w:r w:rsidRPr="00056F49">
        <w:rPr>
          <w:rFonts w:ascii="Arial" w:hAnsi="Arial"/>
          <w:color w:val="000000"/>
          <w:sz w:val="20"/>
          <w:szCs w:val="20"/>
        </w:rPr>
        <w:t>Sout</w:t>
      </w:r>
      <w:r>
        <w:rPr>
          <w:rFonts w:ascii="Arial" w:hAnsi="Arial"/>
          <w:color w:val="000000"/>
          <w:sz w:val="20"/>
          <w:szCs w:val="20"/>
        </w:rPr>
        <w:t>enance de thèse de Hun Hee CHO</w:t>
      </w:r>
    </w:p>
    <w:p w:rsidR="00056F49" w:rsidRPr="00056F49" w:rsidRDefault="00056F49" w:rsidP="00056F49">
      <w:pPr>
        <w:rPr>
          <w:rFonts w:ascii="Arial" w:hAnsi="Arial"/>
          <w:color w:val="000000"/>
          <w:sz w:val="20"/>
          <w:szCs w:val="20"/>
        </w:rPr>
      </w:pPr>
    </w:p>
    <w:p w:rsidR="00056F49" w:rsidRPr="00056F49" w:rsidRDefault="00056F49" w:rsidP="00056F49">
      <w:pPr>
        <w:shd w:val="clear" w:color="auto" w:fill="FFFFFF"/>
        <w:jc w:val="center"/>
        <w:rPr>
          <w:rFonts w:ascii="Arial" w:hAnsi="Arial"/>
          <w:color w:val="000000"/>
          <w:sz w:val="20"/>
          <w:szCs w:val="20"/>
        </w:rPr>
      </w:pPr>
      <w:bookmarkStart w:id="1" w:name="_Toc288769941"/>
      <w:r w:rsidRPr="00056F49">
        <w:rPr>
          <w:rFonts w:ascii="Arial" w:hAnsi="Arial"/>
          <w:b/>
          <w:bCs/>
          <w:color w:val="0000FF"/>
          <w:u w:val="single"/>
        </w:rPr>
        <w:t>COMMERCES ET ESPACES MARCHANDS DANS LES VILLES SUD-CORÉENNES</w:t>
      </w:r>
    </w:p>
    <w:p w:rsidR="00056F49" w:rsidRPr="00056F49" w:rsidRDefault="00056F49" w:rsidP="00056F49">
      <w:pPr>
        <w:shd w:val="clear" w:color="auto" w:fill="FFFFFF"/>
        <w:jc w:val="center"/>
        <w:rPr>
          <w:rFonts w:ascii="Arial" w:hAnsi="Arial"/>
          <w:color w:val="000000"/>
          <w:sz w:val="20"/>
          <w:szCs w:val="20"/>
        </w:rPr>
      </w:pPr>
      <w:bookmarkStart w:id="2" w:name="_Toc289269488"/>
      <w:r w:rsidRPr="00056F49">
        <w:rPr>
          <w:rFonts w:ascii="Arial" w:hAnsi="Arial"/>
          <w:b/>
          <w:bCs/>
          <w:color w:val="0000FF"/>
          <w:u w:val="single"/>
        </w:rPr>
        <w:t>LES CENTRES COMMERCIAUX VERTICAUX</w:t>
      </w:r>
    </w:p>
    <w:p w:rsidR="00056F49" w:rsidRPr="00056F49" w:rsidRDefault="00056F49" w:rsidP="00056F49">
      <w:pPr>
        <w:shd w:val="clear" w:color="auto" w:fill="FFFFFF"/>
        <w:rPr>
          <w:rFonts w:ascii="Arial" w:hAnsi="Arial"/>
          <w:color w:val="000000"/>
          <w:sz w:val="20"/>
          <w:szCs w:val="20"/>
        </w:rPr>
      </w:pPr>
    </w:p>
    <w:p w:rsidR="00056F49" w:rsidRPr="00056F49" w:rsidRDefault="00056F49" w:rsidP="00056F49">
      <w:pPr>
        <w:shd w:val="clear" w:color="auto" w:fill="FFFFFF"/>
        <w:rPr>
          <w:rFonts w:ascii="Arial" w:hAnsi="Arial"/>
          <w:color w:val="000000"/>
          <w:sz w:val="20"/>
          <w:szCs w:val="20"/>
        </w:rPr>
      </w:pPr>
      <w:r w:rsidRPr="00056F49">
        <w:rPr>
          <w:rFonts w:ascii="Arial" w:hAnsi="Arial"/>
          <w:b/>
          <w:bCs/>
          <w:color w:val="000000"/>
          <w:sz w:val="20"/>
          <w:szCs w:val="20"/>
        </w:rPr>
        <w:t>Résumé</w:t>
      </w:r>
    </w:p>
    <w:p w:rsidR="00056F49" w:rsidRPr="00056F49" w:rsidRDefault="00056F49" w:rsidP="00056F49">
      <w:pPr>
        <w:shd w:val="clear" w:color="auto" w:fill="FFFFFF"/>
        <w:rPr>
          <w:rFonts w:ascii="Arial" w:hAnsi="Arial"/>
          <w:color w:val="000000"/>
          <w:sz w:val="20"/>
          <w:szCs w:val="20"/>
        </w:rPr>
      </w:pPr>
      <w:r w:rsidRPr="00056F49">
        <w:rPr>
          <w:rFonts w:ascii="Arial" w:hAnsi="Arial"/>
          <w:color w:val="000000"/>
          <w:sz w:val="20"/>
          <w:szCs w:val="20"/>
        </w:rPr>
        <w:t>Pleinement intégrés dans les tissus urbains, les centres commerciaux verticaux se multiplient sous une forme variée sur le territoire sud-coréen depuis les années 1990. Un grand équipement urbain multifonctionnel, affichant une verticalité spatiale, présente une pluralité de comportements des consommateurs. La recherche s’interroge sur les principaux aspects de l’articulation entre le commerce et la ville et démontre comment interagissent la transformation de la société et la mutation des espaces marchands. L’hypothèse centrale est que d’une part ces nouveaux lieux marchands soient formés à partir du contexte local et que d’autre part ces lieux participeraient à une production urbaine spécifique et contribueraient ainsi à une recomposition sociale singulière. Dans ce cadre, la recherche interroge l’histoire locale, les conditions sociales, économiques, juridiques et culturelles comme matrice principale et s’appuie sur l’exemple des centres commerciaux verticaux à Séoul. À travers l’analyse géographique, la recherche aborde trois questions majeures : formes, dynamiques et pratiques urbaines qu’induisent ces lieux marchands. Les interrogations reposent aussi sur la variation des échelles d’analyse : villes, quartiers, lieu marchand et individu. Prenant l’architecture commerciale comme angle d’analyse, la recherche apporte un nouvel éclairage pour comprendre la morphologie actuelle de Séoul et aussi pour évaluer dans quelle mesure un tel équipement urbain peut contribuer à réinventer la ville. La thèse ouvre également une nouvelle perspective sur la circulation des modèles commerciaux dans le contexte de mondialisation actuelle et sur la verticalisation des espaces urbains.</w:t>
      </w:r>
    </w:p>
    <w:p w:rsidR="00056F49" w:rsidRPr="00056F49" w:rsidRDefault="00056F49" w:rsidP="00056F49">
      <w:pPr>
        <w:shd w:val="clear" w:color="auto" w:fill="FFFFFF"/>
        <w:rPr>
          <w:rFonts w:ascii="Arial" w:hAnsi="Arial"/>
          <w:color w:val="000000"/>
          <w:sz w:val="20"/>
          <w:szCs w:val="20"/>
        </w:rPr>
      </w:pPr>
      <w:r w:rsidRPr="00056F49">
        <w:rPr>
          <w:rFonts w:ascii="Arial" w:hAnsi="Arial"/>
          <w:color w:val="000000"/>
          <w:sz w:val="20"/>
          <w:szCs w:val="20"/>
        </w:rPr>
        <w:t> </w:t>
      </w:r>
    </w:p>
    <w:p w:rsidR="00056F49" w:rsidRPr="00056F49" w:rsidRDefault="00056F49" w:rsidP="00056F49">
      <w:pPr>
        <w:shd w:val="clear" w:color="auto" w:fill="FFFFFF"/>
        <w:rPr>
          <w:rFonts w:ascii="Arial" w:hAnsi="Arial"/>
          <w:color w:val="000000"/>
          <w:sz w:val="20"/>
          <w:szCs w:val="20"/>
        </w:rPr>
      </w:pPr>
      <w:r w:rsidRPr="00056F49">
        <w:rPr>
          <w:rFonts w:ascii="Arial" w:hAnsi="Arial"/>
          <w:color w:val="000000"/>
          <w:sz w:val="20"/>
          <w:szCs w:val="20"/>
        </w:rPr>
        <w:t> </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UNIVERSITÉ PARIS 8 – VINCENNES-SAINT-DENIS</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École Doctorale Sciences Sociales - ED 401</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Laboratoire dynamiques sociales et recomposition des espaces, UMR 7533</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 </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Thèse</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 </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pour obtenir le grade de docteur de l’Université Paris 8 – Vinciennes-Saint-Denis</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Discipline : Géographie humaine et régionale</w:t>
      </w:r>
    </w:p>
    <w:p w:rsidR="00056F49" w:rsidRPr="00056F49" w:rsidRDefault="00056F49" w:rsidP="003926BB">
      <w:pPr>
        <w:shd w:val="clear" w:color="auto" w:fill="FFFFFF"/>
        <w:jc w:val="center"/>
        <w:rPr>
          <w:rFonts w:ascii="Arial" w:hAnsi="Arial"/>
          <w:color w:val="000000"/>
          <w:sz w:val="20"/>
          <w:szCs w:val="20"/>
        </w:rPr>
      </w:pPr>
      <w:bookmarkStart w:id="3" w:name="_Toc290516450"/>
      <w:bookmarkStart w:id="4" w:name="_Toc290478147"/>
      <w:bookmarkStart w:id="5" w:name="_Toc290477348"/>
      <w:bookmarkStart w:id="6" w:name="_Toc290476933"/>
      <w:bookmarkStart w:id="7" w:name="_Toc290416935"/>
      <w:bookmarkStart w:id="8" w:name="_Toc290390339"/>
      <w:bookmarkStart w:id="9" w:name="_Toc290376156"/>
      <w:bookmarkStart w:id="10" w:name="_Toc290375946"/>
      <w:bookmarkStart w:id="11" w:name="_Toc289288685"/>
      <w:bookmarkStart w:id="12" w:name="_Toc289269487"/>
      <w:bookmarkEnd w:id="1"/>
      <w:bookmarkEnd w:id="2"/>
      <w:bookmarkEnd w:id="3"/>
      <w:bookmarkEnd w:id="4"/>
      <w:bookmarkEnd w:id="5"/>
      <w:bookmarkEnd w:id="6"/>
      <w:bookmarkEnd w:id="7"/>
      <w:bookmarkEnd w:id="8"/>
      <w:bookmarkEnd w:id="9"/>
      <w:bookmarkEnd w:id="10"/>
      <w:bookmarkEnd w:id="11"/>
      <w:bookmarkEnd w:id="12"/>
      <w:r w:rsidRPr="00056F49">
        <w:rPr>
          <w:rFonts w:ascii="Arial" w:hAnsi="Arial"/>
          <w:color w:val="000000"/>
          <w:sz w:val="20"/>
          <w:szCs w:val="20"/>
        </w:rPr>
        <w:t>Présenté</w:t>
      </w:r>
      <w:r w:rsidR="003926BB">
        <w:rPr>
          <w:rFonts w:ascii="Arial" w:hAnsi="Arial"/>
          <w:color w:val="000000"/>
          <w:sz w:val="20"/>
          <w:szCs w:val="20"/>
        </w:rPr>
        <w:t>e et soutenue publiquement</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le 6 juillet 2015</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 </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b/>
          <w:bCs/>
          <w:color w:val="000000"/>
          <w:sz w:val="20"/>
          <w:szCs w:val="20"/>
        </w:rPr>
        <w:t>sous la direction de Nathalie Lemarchand</w:t>
      </w:r>
    </w:p>
    <w:p w:rsidR="00056F49" w:rsidRPr="00056F49" w:rsidRDefault="00056F49" w:rsidP="00056F49">
      <w:pPr>
        <w:shd w:val="clear" w:color="auto" w:fill="FFFFFF"/>
        <w:jc w:val="center"/>
        <w:rPr>
          <w:rFonts w:ascii="Arial" w:hAnsi="Arial"/>
          <w:color w:val="000000"/>
          <w:sz w:val="20"/>
          <w:szCs w:val="20"/>
        </w:rPr>
      </w:pPr>
      <w:r w:rsidRPr="00056F49">
        <w:rPr>
          <w:rFonts w:ascii="Arial" w:hAnsi="Arial"/>
          <w:color w:val="000000"/>
          <w:sz w:val="20"/>
          <w:szCs w:val="20"/>
        </w:rPr>
        <w:t>devant le jury composé de</w:t>
      </w:r>
    </w:p>
    <w:p w:rsidR="00056F49" w:rsidRPr="00056F49" w:rsidRDefault="00056F49" w:rsidP="00056F49">
      <w:pPr>
        <w:shd w:val="clear" w:color="auto" w:fill="FFFFFF"/>
        <w:rPr>
          <w:rFonts w:ascii="Arial" w:hAnsi="Arial"/>
          <w:color w:val="000000"/>
          <w:sz w:val="20"/>
          <w:szCs w:val="20"/>
        </w:rPr>
      </w:pPr>
      <w:r w:rsidRPr="00056F49">
        <w:rPr>
          <w:rFonts w:ascii="Arial" w:hAnsi="Arial"/>
          <w:color w:val="000000"/>
          <w:sz w:val="20"/>
          <w:szCs w:val="20"/>
        </w:rPr>
        <w:t> </w:t>
      </w:r>
    </w:p>
    <w:tbl>
      <w:tblPr>
        <w:tblW w:w="10632" w:type="dxa"/>
        <w:jc w:val="center"/>
        <w:tblInd w:w="-459" w:type="dxa"/>
        <w:tblCellMar>
          <w:left w:w="0" w:type="dxa"/>
          <w:right w:w="0" w:type="dxa"/>
        </w:tblCellMar>
        <w:tblLook w:val="04A0" w:firstRow="1" w:lastRow="0" w:firstColumn="1" w:lastColumn="0" w:noHBand="0" w:noVBand="1"/>
      </w:tblPr>
      <w:tblGrid>
        <w:gridCol w:w="2546"/>
        <w:gridCol w:w="3543"/>
        <w:gridCol w:w="2835"/>
        <w:gridCol w:w="1708"/>
      </w:tblGrid>
      <w:tr w:rsidR="00056F49" w:rsidRPr="00056F49" w:rsidTr="00056F49">
        <w:trPr>
          <w:jc w:val="center"/>
        </w:trPr>
        <w:tc>
          <w:tcPr>
            <w:tcW w:w="2546"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Natacha Aveline</w:t>
            </w:r>
          </w:p>
        </w:tc>
        <w:tc>
          <w:tcPr>
            <w:tcW w:w="3543"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Directrice de Recherches</w:t>
            </w:r>
          </w:p>
        </w:tc>
        <w:tc>
          <w:tcPr>
            <w:tcW w:w="2835"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Université Paris 1 Panthéon-Sorbonne</w:t>
            </w:r>
          </w:p>
        </w:tc>
        <w:tc>
          <w:tcPr>
            <w:tcW w:w="1708"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Présidente</w:t>
            </w:r>
          </w:p>
        </w:tc>
      </w:tr>
      <w:tr w:rsidR="00056F49" w:rsidRPr="00056F49" w:rsidTr="00056F49">
        <w:trPr>
          <w:jc w:val="center"/>
        </w:trPr>
        <w:tc>
          <w:tcPr>
            <w:tcW w:w="2546"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René-Paul Desse</w:t>
            </w:r>
          </w:p>
        </w:tc>
        <w:tc>
          <w:tcPr>
            <w:tcW w:w="3543"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Professeur des Universités</w:t>
            </w:r>
          </w:p>
        </w:tc>
        <w:tc>
          <w:tcPr>
            <w:tcW w:w="2835"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Université de</w:t>
            </w:r>
          </w:p>
          <w:p w:rsidR="00056F49" w:rsidRPr="00056F49" w:rsidRDefault="00056F49" w:rsidP="00056F49">
            <w:pPr>
              <w:rPr>
                <w:rFonts w:ascii="Times" w:hAnsi="Times"/>
                <w:sz w:val="20"/>
                <w:szCs w:val="20"/>
              </w:rPr>
            </w:pPr>
            <w:r w:rsidRPr="00056F49">
              <w:rPr>
                <w:rFonts w:ascii="Times" w:hAnsi="Times"/>
                <w:sz w:val="18"/>
                <w:szCs w:val="18"/>
              </w:rPr>
              <w:t>Bretagne Occidentale</w:t>
            </w:r>
          </w:p>
        </w:tc>
        <w:tc>
          <w:tcPr>
            <w:tcW w:w="1708"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Rapporteur</w:t>
            </w:r>
          </w:p>
        </w:tc>
      </w:tr>
      <w:tr w:rsidR="00056F49" w:rsidRPr="00056F49" w:rsidTr="00056F49">
        <w:trPr>
          <w:jc w:val="center"/>
        </w:trPr>
        <w:tc>
          <w:tcPr>
            <w:tcW w:w="2546"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Valérie Gelézeau</w:t>
            </w:r>
          </w:p>
        </w:tc>
        <w:tc>
          <w:tcPr>
            <w:tcW w:w="3543"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Maître de conférences (HDR)</w:t>
            </w:r>
          </w:p>
        </w:tc>
        <w:tc>
          <w:tcPr>
            <w:tcW w:w="2835"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École des Hautes Études</w:t>
            </w:r>
          </w:p>
          <w:p w:rsidR="00056F49" w:rsidRPr="00056F49" w:rsidRDefault="00056F49" w:rsidP="00056F49">
            <w:pPr>
              <w:rPr>
                <w:rFonts w:ascii="Times" w:hAnsi="Times"/>
                <w:sz w:val="20"/>
                <w:szCs w:val="20"/>
              </w:rPr>
            </w:pPr>
            <w:r w:rsidRPr="00056F49">
              <w:rPr>
                <w:rFonts w:ascii="Times" w:hAnsi="Times"/>
                <w:sz w:val="18"/>
                <w:szCs w:val="18"/>
              </w:rPr>
              <w:t> en Sciences Sociales</w:t>
            </w:r>
          </w:p>
        </w:tc>
        <w:tc>
          <w:tcPr>
            <w:tcW w:w="1708"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Rapporteur</w:t>
            </w:r>
          </w:p>
        </w:tc>
      </w:tr>
      <w:tr w:rsidR="00056F49" w:rsidRPr="00056F49" w:rsidTr="00056F49">
        <w:trPr>
          <w:jc w:val="center"/>
        </w:trPr>
        <w:tc>
          <w:tcPr>
            <w:tcW w:w="2546"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Nathalie Lemarchand</w:t>
            </w:r>
          </w:p>
        </w:tc>
        <w:tc>
          <w:tcPr>
            <w:tcW w:w="3543"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Professeur des Universités</w:t>
            </w:r>
          </w:p>
        </w:tc>
        <w:tc>
          <w:tcPr>
            <w:tcW w:w="2835"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Université Paris 8</w:t>
            </w:r>
          </w:p>
          <w:p w:rsidR="00056F49" w:rsidRPr="00056F49" w:rsidRDefault="00056F49" w:rsidP="00056F49">
            <w:pPr>
              <w:rPr>
                <w:rFonts w:ascii="Times" w:hAnsi="Times"/>
                <w:sz w:val="20"/>
                <w:szCs w:val="20"/>
              </w:rPr>
            </w:pPr>
            <w:r w:rsidRPr="00056F49">
              <w:rPr>
                <w:rFonts w:ascii="Times" w:hAnsi="Times"/>
                <w:sz w:val="18"/>
                <w:szCs w:val="18"/>
              </w:rPr>
              <w:t>Vincennes - Saint-Denis</w:t>
            </w:r>
          </w:p>
        </w:tc>
        <w:tc>
          <w:tcPr>
            <w:tcW w:w="1708" w:type="dxa"/>
            <w:tcMar>
              <w:top w:w="0" w:type="dxa"/>
              <w:left w:w="108" w:type="dxa"/>
              <w:bottom w:w="0" w:type="dxa"/>
              <w:right w:w="108" w:type="dxa"/>
            </w:tcMar>
            <w:vAlign w:val="center"/>
            <w:hideMark/>
          </w:tcPr>
          <w:p w:rsidR="00056F49" w:rsidRPr="00056F49" w:rsidRDefault="00056F49" w:rsidP="00056F49">
            <w:pPr>
              <w:rPr>
                <w:rFonts w:ascii="Times" w:hAnsi="Times"/>
                <w:sz w:val="20"/>
                <w:szCs w:val="20"/>
              </w:rPr>
            </w:pPr>
            <w:r w:rsidRPr="00056F49">
              <w:rPr>
                <w:rFonts w:ascii="Times" w:hAnsi="Times"/>
                <w:sz w:val="18"/>
                <w:szCs w:val="18"/>
              </w:rPr>
              <w:t>Directrice</w:t>
            </w:r>
          </w:p>
        </w:tc>
      </w:tr>
    </w:tbl>
    <w:p w:rsidR="00E96443" w:rsidRDefault="00E96443"/>
    <w:sectPr w:rsidR="00E96443" w:rsidSect="00E964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49"/>
    <w:rsid w:val="00056F49"/>
    <w:rsid w:val="003926BB"/>
    <w:rsid w:val="008E063D"/>
    <w:rsid w:val="00E964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056F49"/>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056F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100">
      <w:marLeft w:val="0"/>
      <w:marRight w:val="0"/>
      <w:marTop w:val="0"/>
      <w:marBottom w:val="0"/>
      <w:divBdr>
        <w:top w:val="none" w:sz="0" w:space="0" w:color="auto"/>
        <w:left w:val="none" w:sz="0" w:space="0" w:color="auto"/>
        <w:bottom w:val="none" w:sz="0" w:space="0" w:color="auto"/>
        <w:right w:val="none" w:sz="0" w:space="0" w:color="auto"/>
      </w:divBdr>
      <w:divsChild>
        <w:div w:id="51006090">
          <w:marLeft w:val="0"/>
          <w:marRight w:val="0"/>
          <w:marTop w:val="0"/>
          <w:marBottom w:val="0"/>
          <w:divBdr>
            <w:top w:val="none" w:sz="0" w:space="0" w:color="auto"/>
            <w:left w:val="none" w:sz="0" w:space="0" w:color="auto"/>
            <w:bottom w:val="none" w:sz="0" w:space="0" w:color="auto"/>
            <w:right w:val="none" w:sz="0" w:space="0" w:color="auto"/>
          </w:divBdr>
        </w:div>
        <w:div w:id="51006101">
          <w:marLeft w:val="0"/>
          <w:marRight w:val="0"/>
          <w:marTop w:val="0"/>
          <w:marBottom w:val="0"/>
          <w:divBdr>
            <w:top w:val="none" w:sz="0" w:space="0" w:color="auto"/>
            <w:left w:val="none" w:sz="0" w:space="0" w:color="auto"/>
            <w:bottom w:val="none" w:sz="0" w:space="0" w:color="auto"/>
            <w:right w:val="none" w:sz="0" w:space="0" w:color="auto"/>
          </w:divBdr>
        </w:div>
        <w:div w:id="51006103">
          <w:marLeft w:val="0"/>
          <w:marRight w:val="0"/>
          <w:marTop w:val="0"/>
          <w:marBottom w:val="0"/>
          <w:divBdr>
            <w:top w:val="none" w:sz="0" w:space="0" w:color="auto"/>
            <w:left w:val="none" w:sz="0" w:space="0" w:color="auto"/>
            <w:bottom w:val="none" w:sz="0" w:space="0" w:color="auto"/>
            <w:right w:val="none" w:sz="0" w:space="0" w:color="auto"/>
          </w:divBdr>
          <w:divsChild>
            <w:div w:id="51006084">
              <w:marLeft w:val="0"/>
              <w:marRight w:val="0"/>
              <w:marTop w:val="0"/>
              <w:marBottom w:val="0"/>
              <w:divBdr>
                <w:top w:val="none" w:sz="0" w:space="0" w:color="auto"/>
                <w:left w:val="none" w:sz="0" w:space="0" w:color="auto"/>
                <w:bottom w:val="none" w:sz="0" w:space="0" w:color="auto"/>
                <w:right w:val="none" w:sz="0" w:space="0" w:color="auto"/>
              </w:divBdr>
            </w:div>
            <w:div w:id="51006085">
              <w:marLeft w:val="0"/>
              <w:marRight w:val="0"/>
              <w:marTop w:val="0"/>
              <w:marBottom w:val="0"/>
              <w:divBdr>
                <w:top w:val="none" w:sz="0" w:space="0" w:color="auto"/>
                <w:left w:val="none" w:sz="0" w:space="0" w:color="auto"/>
                <w:bottom w:val="none" w:sz="0" w:space="0" w:color="auto"/>
                <w:right w:val="none" w:sz="0" w:space="0" w:color="auto"/>
              </w:divBdr>
            </w:div>
            <w:div w:id="51006086">
              <w:marLeft w:val="0"/>
              <w:marRight w:val="0"/>
              <w:marTop w:val="0"/>
              <w:marBottom w:val="0"/>
              <w:divBdr>
                <w:top w:val="none" w:sz="0" w:space="0" w:color="auto"/>
                <w:left w:val="none" w:sz="0" w:space="0" w:color="auto"/>
                <w:bottom w:val="none" w:sz="0" w:space="0" w:color="auto"/>
                <w:right w:val="none" w:sz="0" w:space="0" w:color="auto"/>
              </w:divBdr>
            </w:div>
            <w:div w:id="51006087">
              <w:marLeft w:val="0"/>
              <w:marRight w:val="0"/>
              <w:marTop w:val="0"/>
              <w:marBottom w:val="0"/>
              <w:divBdr>
                <w:top w:val="none" w:sz="0" w:space="0" w:color="auto"/>
                <w:left w:val="none" w:sz="0" w:space="0" w:color="auto"/>
                <w:bottom w:val="none" w:sz="0" w:space="0" w:color="auto"/>
                <w:right w:val="none" w:sz="0" w:space="0" w:color="auto"/>
              </w:divBdr>
            </w:div>
            <w:div w:id="51006088">
              <w:marLeft w:val="0"/>
              <w:marRight w:val="0"/>
              <w:marTop w:val="0"/>
              <w:marBottom w:val="0"/>
              <w:divBdr>
                <w:top w:val="none" w:sz="0" w:space="0" w:color="auto"/>
                <w:left w:val="none" w:sz="0" w:space="0" w:color="auto"/>
                <w:bottom w:val="none" w:sz="0" w:space="0" w:color="auto"/>
                <w:right w:val="none" w:sz="0" w:space="0" w:color="auto"/>
              </w:divBdr>
            </w:div>
            <w:div w:id="51006089">
              <w:marLeft w:val="0"/>
              <w:marRight w:val="0"/>
              <w:marTop w:val="0"/>
              <w:marBottom w:val="0"/>
              <w:divBdr>
                <w:top w:val="none" w:sz="0" w:space="0" w:color="auto"/>
                <w:left w:val="none" w:sz="0" w:space="0" w:color="auto"/>
                <w:bottom w:val="none" w:sz="0" w:space="0" w:color="auto"/>
                <w:right w:val="none" w:sz="0" w:space="0" w:color="auto"/>
              </w:divBdr>
            </w:div>
            <w:div w:id="51006091">
              <w:marLeft w:val="0"/>
              <w:marRight w:val="0"/>
              <w:marTop w:val="0"/>
              <w:marBottom w:val="0"/>
              <w:divBdr>
                <w:top w:val="none" w:sz="0" w:space="0" w:color="auto"/>
                <w:left w:val="none" w:sz="0" w:space="0" w:color="auto"/>
                <w:bottom w:val="none" w:sz="0" w:space="0" w:color="auto"/>
                <w:right w:val="none" w:sz="0" w:space="0" w:color="auto"/>
              </w:divBdr>
            </w:div>
            <w:div w:id="51006092">
              <w:marLeft w:val="0"/>
              <w:marRight w:val="0"/>
              <w:marTop w:val="0"/>
              <w:marBottom w:val="0"/>
              <w:divBdr>
                <w:top w:val="none" w:sz="0" w:space="0" w:color="auto"/>
                <w:left w:val="none" w:sz="0" w:space="0" w:color="auto"/>
                <w:bottom w:val="none" w:sz="0" w:space="0" w:color="auto"/>
                <w:right w:val="none" w:sz="0" w:space="0" w:color="auto"/>
              </w:divBdr>
            </w:div>
            <w:div w:id="51006093">
              <w:marLeft w:val="0"/>
              <w:marRight w:val="0"/>
              <w:marTop w:val="0"/>
              <w:marBottom w:val="0"/>
              <w:divBdr>
                <w:top w:val="none" w:sz="0" w:space="0" w:color="auto"/>
                <w:left w:val="none" w:sz="0" w:space="0" w:color="auto"/>
                <w:bottom w:val="none" w:sz="0" w:space="0" w:color="auto"/>
                <w:right w:val="none" w:sz="0" w:space="0" w:color="auto"/>
              </w:divBdr>
            </w:div>
            <w:div w:id="51006094">
              <w:marLeft w:val="0"/>
              <w:marRight w:val="0"/>
              <w:marTop w:val="0"/>
              <w:marBottom w:val="0"/>
              <w:divBdr>
                <w:top w:val="none" w:sz="0" w:space="0" w:color="auto"/>
                <w:left w:val="none" w:sz="0" w:space="0" w:color="auto"/>
                <w:bottom w:val="none" w:sz="0" w:space="0" w:color="auto"/>
                <w:right w:val="none" w:sz="0" w:space="0" w:color="auto"/>
              </w:divBdr>
            </w:div>
            <w:div w:id="51006095">
              <w:marLeft w:val="0"/>
              <w:marRight w:val="0"/>
              <w:marTop w:val="0"/>
              <w:marBottom w:val="0"/>
              <w:divBdr>
                <w:top w:val="none" w:sz="0" w:space="0" w:color="auto"/>
                <w:left w:val="none" w:sz="0" w:space="0" w:color="auto"/>
                <w:bottom w:val="none" w:sz="0" w:space="0" w:color="auto"/>
                <w:right w:val="none" w:sz="0" w:space="0" w:color="auto"/>
              </w:divBdr>
            </w:div>
            <w:div w:id="51006096">
              <w:marLeft w:val="0"/>
              <w:marRight w:val="0"/>
              <w:marTop w:val="0"/>
              <w:marBottom w:val="0"/>
              <w:divBdr>
                <w:top w:val="none" w:sz="0" w:space="0" w:color="auto"/>
                <w:left w:val="none" w:sz="0" w:space="0" w:color="auto"/>
                <w:bottom w:val="none" w:sz="0" w:space="0" w:color="auto"/>
                <w:right w:val="none" w:sz="0" w:space="0" w:color="auto"/>
              </w:divBdr>
            </w:div>
            <w:div w:id="51006097">
              <w:marLeft w:val="0"/>
              <w:marRight w:val="0"/>
              <w:marTop w:val="0"/>
              <w:marBottom w:val="0"/>
              <w:divBdr>
                <w:top w:val="none" w:sz="0" w:space="0" w:color="auto"/>
                <w:left w:val="none" w:sz="0" w:space="0" w:color="auto"/>
                <w:bottom w:val="none" w:sz="0" w:space="0" w:color="auto"/>
                <w:right w:val="none" w:sz="0" w:space="0" w:color="auto"/>
              </w:divBdr>
            </w:div>
            <w:div w:id="51006098">
              <w:marLeft w:val="0"/>
              <w:marRight w:val="0"/>
              <w:marTop w:val="0"/>
              <w:marBottom w:val="0"/>
              <w:divBdr>
                <w:top w:val="none" w:sz="0" w:space="0" w:color="auto"/>
                <w:left w:val="none" w:sz="0" w:space="0" w:color="auto"/>
                <w:bottom w:val="none" w:sz="0" w:space="0" w:color="auto"/>
                <w:right w:val="none" w:sz="0" w:space="0" w:color="auto"/>
              </w:divBdr>
            </w:div>
            <w:div w:id="51006099">
              <w:marLeft w:val="0"/>
              <w:marRight w:val="0"/>
              <w:marTop w:val="0"/>
              <w:marBottom w:val="0"/>
              <w:divBdr>
                <w:top w:val="none" w:sz="0" w:space="0" w:color="auto"/>
                <w:left w:val="none" w:sz="0" w:space="0" w:color="auto"/>
                <w:bottom w:val="none" w:sz="0" w:space="0" w:color="auto"/>
                <w:right w:val="none" w:sz="0" w:space="0" w:color="auto"/>
              </w:divBdr>
            </w:div>
            <w:div w:id="51006102">
              <w:marLeft w:val="0"/>
              <w:marRight w:val="0"/>
              <w:marTop w:val="0"/>
              <w:marBottom w:val="0"/>
              <w:divBdr>
                <w:top w:val="none" w:sz="0" w:space="0" w:color="auto"/>
                <w:left w:val="none" w:sz="0" w:space="0" w:color="auto"/>
                <w:bottom w:val="none" w:sz="0" w:space="0" w:color="auto"/>
                <w:right w:val="none" w:sz="0" w:space="0" w:color="auto"/>
              </w:divBdr>
            </w:div>
            <w:div w:id="51006104">
              <w:marLeft w:val="0"/>
              <w:marRight w:val="0"/>
              <w:marTop w:val="0"/>
              <w:marBottom w:val="0"/>
              <w:divBdr>
                <w:top w:val="none" w:sz="0" w:space="0" w:color="auto"/>
                <w:left w:val="none" w:sz="0" w:space="0" w:color="auto"/>
                <w:bottom w:val="none" w:sz="0" w:space="0" w:color="auto"/>
                <w:right w:val="none" w:sz="0" w:space="0" w:color="auto"/>
              </w:divBdr>
            </w:div>
            <w:div w:id="51006105">
              <w:marLeft w:val="0"/>
              <w:marRight w:val="0"/>
              <w:marTop w:val="0"/>
              <w:marBottom w:val="0"/>
              <w:divBdr>
                <w:top w:val="none" w:sz="0" w:space="0" w:color="auto"/>
                <w:left w:val="none" w:sz="0" w:space="0" w:color="auto"/>
                <w:bottom w:val="none" w:sz="0" w:space="0" w:color="auto"/>
                <w:right w:val="none" w:sz="0" w:space="0" w:color="auto"/>
              </w:divBdr>
            </w:div>
            <w:div w:id="51006106">
              <w:marLeft w:val="0"/>
              <w:marRight w:val="0"/>
              <w:marTop w:val="0"/>
              <w:marBottom w:val="0"/>
              <w:divBdr>
                <w:top w:val="none" w:sz="0" w:space="0" w:color="auto"/>
                <w:left w:val="none" w:sz="0" w:space="0" w:color="auto"/>
                <w:bottom w:val="none" w:sz="0" w:space="0" w:color="auto"/>
                <w:right w:val="none" w:sz="0" w:space="0" w:color="auto"/>
              </w:divBdr>
            </w:div>
            <w:div w:id="51006107">
              <w:marLeft w:val="0"/>
              <w:marRight w:val="0"/>
              <w:marTop w:val="0"/>
              <w:marBottom w:val="0"/>
              <w:divBdr>
                <w:top w:val="none" w:sz="0" w:space="0" w:color="auto"/>
                <w:left w:val="none" w:sz="0" w:space="0" w:color="auto"/>
                <w:bottom w:val="none" w:sz="0" w:space="0" w:color="auto"/>
                <w:right w:val="none" w:sz="0" w:space="0" w:color="auto"/>
              </w:divBdr>
            </w:div>
            <w:div w:id="51006108">
              <w:marLeft w:val="0"/>
              <w:marRight w:val="0"/>
              <w:marTop w:val="0"/>
              <w:marBottom w:val="0"/>
              <w:divBdr>
                <w:top w:val="none" w:sz="0" w:space="0" w:color="auto"/>
                <w:left w:val="none" w:sz="0" w:space="0" w:color="auto"/>
                <w:bottom w:val="none" w:sz="0" w:space="0" w:color="auto"/>
                <w:right w:val="none" w:sz="0" w:space="0" w:color="auto"/>
              </w:divBdr>
            </w:div>
            <w:div w:id="51006109">
              <w:marLeft w:val="0"/>
              <w:marRight w:val="0"/>
              <w:marTop w:val="0"/>
              <w:marBottom w:val="0"/>
              <w:divBdr>
                <w:top w:val="none" w:sz="0" w:space="0" w:color="auto"/>
                <w:left w:val="none" w:sz="0" w:space="0" w:color="auto"/>
                <w:bottom w:val="none" w:sz="0" w:space="0" w:color="auto"/>
                <w:right w:val="none" w:sz="0" w:space="0" w:color="auto"/>
              </w:divBdr>
            </w:div>
            <w:div w:id="51006110">
              <w:marLeft w:val="0"/>
              <w:marRight w:val="0"/>
              <w:marTop w:val="0"/>
              <w:marBottom w:val="0"/>
              <w:divBdr>
                <w:top w:val="none" w:sz="0" w:space="0" w:color="auto"/>
                <w:left w:val="none" w:sz="0" w:space="0" w:color="auto"/>
                <w:bottom w:val="none" w:sz="0" w:space="0" w:color="auto"/>
                <w:right w:val="none" w:sz="0" w:space="0" w:color="auto"/>
              </w:divBdr>
            </w:div>
            <w:div w:id="51006111">
              <w:marLeft w:val="0"/>
              <w:marRight w:val="0"/>
              <w:marTop w:val="0"/>
              <w:marBottom w:val="0"/>
              <w:divBdr>
                <w:top w:val="none" w:sz="0" w:space="0" w:color="auto"/>
                <w:left w:val="none" w:sz="0" w:space="0" w:color="auto"/>
                <w:bottom w:val="none" w:sz="0" w:space="0" w:color="auto"/>
                <w:right w:val="none" w:sz="0" w:space="0" w:color="auto"/>
              </w:divBdr>
            </w:div>
            <w:div w:id="510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2240</Characters>
  <Application>Microsoft Macintosh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2015-06-22T12:29:00Z</dcterms:created>
  <dcterms:modified xsi:type="dcterms:W3CDTF">2015-06-22T12:29:00Z</dcterms:modified>
</cp:coreProperties>
</file>