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855D4" w:rsidRDefault="00F411C5">
      <w:pPr>
        <w:jc w:val="center"/>
        <w:rPr>
          <w:rFonts w:ascii="Times New Roman" w:hAnsi="Times New Roman" w:cs="Times New Roman"/>
          <w:b/>
          <w:bCs/>
          <w:color w:val="000000"/>
          <w:sz w:val="28"/>
          <w:szCs w:val="26"/>
          <w:shd w:val="clear" w:color="auto" w:fill="FFFFFF"/>
        </w:rPr>
      </w:pPr>
      <w:r>
        <w:rPr>
          <w:rFonts w:ascii="Times New Roman" w:hAnsi="Times New Roman" w:cs="Times New Roman"/>
          <w:b/>
          <w:bCs/>
          <w:color w:val="000000"/>
          <w:sz w:val="28"/>
          <w:szCs w:val="26"/>
          <w:shd w:val="clear" w:color="auto" w:fill="FFFFFF"/>
        </w:rPr>
        <w:fldChar w:fldCharType="begin"/>
      </w:r>
      <w:r>
        <w:rPr>
          <w:rFonts w:ascii="Times New Roman" w:hAnsi="Times New Roman" w:cs="Times New Roman"/>
          <w:b/>
          <w:bCs/>
          <w:color w:val="000000"/>
          <w:sz w:val="28"/>
          <w:szCs w:val="26"/>
          <w:shd w:val="clear" w:color="auto" w:fill="FFFFFF"/>
        </w:rPr>
        <w:instrText xml:space="preserve"> HYPERLINK "https://www.ugiparis2022.org/index.php?langue=fr&amp;onglet=29" </w:instrText>
      </w:r>
      <w:r>
        <w:rPr>
          <w:rFonts w:ascii="Times New Roman" w:hAnsi="Times New Roman" w:cs="Times New Roman"/>
          <w:b/>
          <w:bCs/>
          <w:color w:val="000000"/>
          <w:sz w:val="28"/>
          <w:szCs w:val="26"/>
          <w:shd w:val="clear" w:color="auto" w:fill="FFFFFF"/>
        </w:rPr>
        <w:fldChar w:fldCharType="separate"/>
      </w:r>
      <w:r w:rsidR="007855D4" w:rsidRPr="00F411C5">
        <w:rPr>
          <w:rStyle w:val="Lienhypertexte"/>
          <w:rFonts w:ascii="Times New Roman" w:hAnsi="Times New Roman" w:cs="Times New Roman"/>
          <w:b/>
          <w:bCs/>
          <w:sz w:val="28"/>
          <w:szCs w:val="26"/>
          <w:shd w:val="clear" w:color="auto" w:fill="FFFFFF"/>
        </w:rPr>
        <w:t>UGI PARIS 2022</w:t>
      </w:r>
      <w:r>
        <w:rPr>
          <w:rFonts w:ascii="Times New Roman" w:hAnsi="Times New Roman" w:cs="Times New Roman"/>
          <w:b/>
          <w:bCs/>
          <w:color w:val="000000"/>
          <w:sz w:val="28"/>
          <w:szCs w:val="26"/>
          <w:shd w:val="clear" w:color="auto" w:fill="FFFFFF"/>
        </w:rPr>
        <w:fldChar w:fldCharType="end"/>
      </w:r>
    </w:p>
    <w:tbl>
      <w:tblPr>
        <w:tblStyle w:val="Grilledutableau"/>
        <w:tblW w:w="0" w:type="auto"/>
        <w:tblLook w:val="04A0" w:firstRow="1" w:lastRow="0" w:firstColumn="1" w:lastColumn="0" w:noHBand="0" w:noVBand="1"/>
      </w:tblPr>
      <w:tblGrid>
        <w:gridCol w:w="9062"/>
      </w:tblGrid>
      <w:tr w:rsidR="007855D4" w:rsidTr="007855D4">
        <w:tc>
          <w:tcPr>
            <w:tcW w:w="9062" w:type="dxa"/>
          </w:tcPr>
          <w:p w:rsidR="007855D4" w:rsidRDefault="007855D4" w:rsidP="007855D4">
            <w:pPr>
              <w:jc w:val="center"/>
              <w:rPr>
                <w:rFonts w:ascii="Times New Roman" w:hAnsi="Times New Roman" w:cs="Times New Roman"/>
                <w:b/>
                <w:bCs/>
                <w:color w:val="000000"/>
                <w:sz w:val="28"/>
                <w:szCs w:val="26"/>
                <w:shd w:val="clear" w:color="auto" w:fill="FFFFFF"/>
              </w:rPr>
            </w:pPr>
            <w:r w:rsidRPr="00F23F31">
              <w:rPr>
                <w:rFonts w:ascii="Times New Roman" w:hAnsi="Times New Roman" w:cs="Times New Roman"/>
                <w:b/>
                <w:bCs/>
                <w:color w:val="000000"/>
                <w:sz w:val="28"/>
                <w:szCs w:val="26"/>
                <w:shd w:val="clear" w:color="auto" w:fill="FFFFFF"/>
              </w:rPr>
              <w:t>La valorisation internationale du local au sud de la Méditerranée : entre impasses et recompositions territoriales</w:t>
            </w:r>
          </w:p>
          <w:p w:rsidR="00F411C5" w:rsidRPr="00F411C5" w:rsidRDefault="00F411C5" w:rsidP="007855D4">
            <w:pPr>
              <w:jc w:val="center"/>
              <w:rPr>
                <w:rFonts w:ascii="Times New Roman" w:hAnsi="Times New Roman" w:cs="Times New Roman"/>
                <w:b/>
                <w:bCs/>
                <w:color w:val="000000"/>
                <w:sz w:val="28"/>
                <w:szCs w:val="26"/>
                <w:u w:val="single"/>
                <w:shd w:val="clear" w:color="auto" w:fill="FFFFFF"/>
              </w:rPr>
            </w:pPr>
            <w:r w:rsidRPr="00F411C5">
              <w:rPr>
                <w:rFonts w:ascii="Times New Roman" w:hAnsi="Times New Roman" w:cs="Times New Roman"/>
                <w:b/>
                <w:bCs/>
                <w:color w:val="000000"/>
                <w:sz w:val="28"/>
                <w:szCs w:val="26"/>
                <w:u w:val="single"/>
                <w:shd w:val="clear" w:color="auto" w:fill="FFFFFF"/>
              </w:rPr>
              <w:t>21 juillet 2022</w:t>
            </w:r>
          </w:p>
          <w:p w:rsidR="007855D4" w:rsidRDefault="007855D4" w:rsidP="007855D4">
            <w:pPr>
              <w:jc w:val="center"/>
              <w:rPr>
                <w:rFonts w:ascii="Times New Roman" w:hAnsi="Times New Roman" w:cs="Times New Roman"/>
                <w:b/>
                <w:sz w:val="24"/>
                <w:lang w:eastAsia="fr-FR"/>
              </w:rPr>
            </w:pPr>
            <w:r>
              <w:rPr>
                <w:rFonts w:ascii="Times New Roman" w:hAnsi="Times New Roman" w:cs="Times New Roman"/>
                <w:b/>
                <w:sz w:val="24"/>
                <w:lang w:eastAsia="fr-FR"/>
              </w:rPr>
              <w:t xml:space="preserve">Code : </w:t>
            </w:r>
            <w:r w:rsidRPr="00F23F31">
              <w:rPr>
                <w:rFonts w:ascii="Times New Roman" w:hAnsi="Times New Roman" w:cs="Times New Roman"/>
                <w:b/>
                <w:sz w:val="24"/>
                <w:lang w:eastAsia="fr-FR"/>
              </w:rPr>
              <w:t>A101636IC</w:t>
            </w:r>
          </w:p>
          <w:p w:rsidR="007855D4" w:rsidRPr="007855D4" w:rsidRDefault="007855D4" w:rsidP="007855D4">
            <w:pPr>
              <w:jc w:val="center"/>
              <w:rPr>
                <w:rFonts w:ascii="Times New Roman" w:hAnsi="Times New Roman" w:cs="Times New Roman"/>
                <w:sz w:val="24"/>
                <w:lang w:eastAsia="fr-FR"/>
              </w:rPr>
            </w:pPr>
            <w:r>
              <w:rPr>
                <w:rFonts w:ascii="Times New Roman" w:hAnsi="Times New Roman" w:cs="Times New Roman"/>
                <w:b/>
                <w:sz w:val="24"/>
                <w:lang w:eastAsia="fr-FR"/>
              </w:rPr>
              <w:t xml:space="preserve">Responsables : </w:t>
            </w:r>
            <w:r>
              <w:rPr>
                <w:rFonts w:ascii="Times New Roman" w:hAnsi="Times New Roman" w:cs="Times New Roman"/>
                <w:sz w:val="24"/>
                <w:lang w:eastAsia="fr-FR"/>
              </w:rPr>
              <w:t xml:space="preserve">Irène Carpentier, </w:t>
            </w:r>
            <w:proofErr w:type="spellStart"/>
            <w:r>
              <w:rPr>
                <w:rFonts w:ascii="Times New Roman" w:hAnsi="Times New Roman" w:cs="Times New Roman"/>
                <w:sz w:val="24"/>
                <w:lang w:eastAsia="fr-FR"/>
              </w:rPr>
              <w:t>Emna</w:t>
            </w:r>
            <w:proofErr w:type="spellEnd"/>
            <w:r>
              <w:rPr>
                <w:rFonts w:ascii="Times New Roman" w:hAnsi="Times New Roman" w:cs="Times New Roman"/>
                <w:sz w:val="24"/>
                <w:lang w:eastAsia="fr-FR"/>
              </w:rPr>
              <w:t xml:space="preserve"> </w:t>
            </w:r>
            <w:proofErr w:type="spellStart"/>
            <w:r>
              <w:rPr>
                <w:rFonts w:ascii="Times New Roman" w:hAnsi="Times New Roman" w:cs="Times New Roman"/>
                <w:sz w:val="24"/>
                <w:lang w:eastAsia="fr-FR"/>
              </w:rPr>
              <w:t>Khemiri</w:t>
            </w:r>
            <w:proofErr w:type="spellEnd"/>
            <w:r>
              <w:rPr>
                <w:rFonts w:ascii="Times New Roman" w:hAnsi="Times New Roman" w:cs="Times New Roman"/>
                <w:sz w:val="24"/>
                <w:lang w:eastAsia="fr-FR"/>
              </w:rPr>
              <w:t xml:space="preserve">, </w:t>
            </w:r>
            <w:proofErr w:type="spellStart"/>
            <w:r w:rsidRPr="00F23F31">
              <w:rPr>
                <w:rFonts w:ascii="Times New Roman" w:hAnsi="Times New Roman" w:cs="Times New Roman"/>
                <w:sz w:val="24"/>
                <w:lang w:eastAsia="fr-FR"/>
              </w:rPr>
              <w:t>Damiano</w:t>
            </w:r>
            <w:proofErr w:type="spellEnd"/>
            <w:r w:rsidRPr="00F23F31">
              <w:rPr>
                <w:rFonts w:ascii="Times New Roman" w:hAnsi="Times New Roman" w:cs="Times New Roman"/>
                <w:sz w:val="24"/>
                <w:lang w:eastAsia="fr-FR"/>
              </w:rPr>
              <w:t xml:space="preserve"> De </w:t>
            </w:r>
            <w:proofErr w:type="spellStart"/>
            <w:r w:rsidRPr="00F23F31">
              <w:rPr>
                <w:rFonts w:ascii="Times New Roman" w:hAnsi="Times New Roman" w:cs="Times New Roman"/>
                <w:sz w:val="24"/>
                <w:lang w:eastAsia="fr-FR"/>
              </w:rPr>
              <w:t>Facci</w:t>
            </w:r>
            <w:proofErr w:type="spellEnd"/>
          </w:p>
        </w:tc>
      </w:tr>
    </w:tbl>
    <w:p w:rsidR="007855D4" w:rsidRDefault="007855D4">
      <w:pPr>
        <w:jc w:val="center"/>
        <w:rPr>
          <w:rFonts w:ascii="Times New Roman" w:hAnsi="Times New Roman" w:cs="Times New Roman"/>
          <w:b/>
          <w:sz w:val="24"/>
          <w:lang w:eastAsia="fr-FR"/>
        </w:rPr>
      </w:pPr>
    </w:p>
    <w:p w:rsidR="00695D84" w:rsidRDefault="00A06C2C">
      <w:pPr>
        <w:jc w:val="center"/>
      </w:pPr>
      <w:r>
        <w:rPr>
          <w:rFonts w:ascii="Times New Roman" w:hAnsi="Times New Roman" w:cs="Times New Roman"/>
          <w:b/>
          <w:sz w:val="24"/>
          <w:lang w:eastAsia="fr-FR"/>
        </w:rPr>
        <w:t>SESSION 1</w:t>
      </w:r>
      <w:r w:rsidR="00F23F31">
        <w:rPr>
          <w:rFonts w:ascii="Times New Roman" w:hAnsi="Times New Roman" w:cs="Times New Roman"/>
          <w:b/>
          <w:sz w:val="24"/>
          <w:lang w:eastAsia="fr-FR"/>
        </w:rPr>
        <w:t xml:space="preserve"> [</w:t>
      </w:r>
      <w:r w:rsidR="00F23F31" w:rsidRPr="00F23F31">
        <w:rPr>
          <w:rFonts w:ascii="Times New Roman" w:hAnsi="Times New Roman" w:cs="Times New Roman"/>
          <w:b/>
          <w:sz w:val="24"/>
          <w:lang w:eastAsia="fr-FR"/>
        </w:rPr>
        <w:t>A101636IC (135)</w:t>
      </w:r>
      <w:r w:rsidR="00F23F31">
        <w:rPr>
          <w:rFonts w:ascii="Times New Roman" w:hAnsi="Times New Roman" w:cs="Times New Roman"/>
          <w:b/>
          <w:sz w:val="24"/>
          <w:lang w:eastAsia="fr-FR"/>
        </w:rPr>
        <w:t>]</w:t>
      </w:r>
    </w:p>
    <w:p w:rsidR="00695D84" w:rsidRPr="00F411C5" w:rsidRDefault="00F411C5">
      <w:pPr>
        <w:jc w:val="center"/>
        <w:rPr>
          <w:rFonts w:ascii="Times New Roman" w:hAnsi="Times New Roman" w:cs="Times New Roman"/>
          <w:b/>
          <w:i/>
          <w:sz w:val="24"/>
          <w:u w:val="single"/>
          <w:lang w:eastAsia="fr-FR"/>
        </w:rPr>
      </w:pPr>
      <w:r w:rsidRPr="00F411C5">
        <w:rPr>
          <w:rFonts w:ascii="Times New Roman" w:hAnsi="Times New Roman" w:cs="Times New Roman"/>
          <w:b/>
          <w:i/>
          <w:sz w:val="24"/>
          <w:u w:val="single"/>
          <w:lang w:eastAsia="fr-FR"/>
        </w:rPr>
        <w:t>21 juillet 2022 (</w:t>
      </w:r>
      <w:r w:rsidR="00A06C2C" w:rsidRPr="00F411C5">
        <w:rPr>
          <w:rFonts w:ascii="Times New Roman" w:hAnsi="Times New Roman" w:cs="Times New Roman"/>
          <w:b/>
          <w:i/>
          <w:sz w:val="24"/>
          <w:u w:val="single"/>
          <w:lang w:eastAsia="fr-FR"/>
        </w:rPr>
        <w:t>8h30-10h15</w:t>
      </w:r>
      <w:r w:rsidRPr="00F411C5">
        <w:rPr>
          <w:rFonts w:ascii="Times New Roman" w:hAnsi="Times New Roman" w:cs="Times New Roman"/>
          <w:b/>
          <w:i/>
          <w:sz w:val="24"/>
          <w:u w:val="single"/>
          <w:lang w:eastAsia="fr-FR"/>
        </w:rPr>
        <w:t>)</w:t>
      </w:r>
    </w:p>
    <w:p w:rsidR="007855D4" w:rsidRDefault="007855D4" w:rsidP="007855D4">
      <w:pPr>
        <w:jc w:val="center"/>
        <w:rPr>
          <w:rFonts w:ascii="Times New Roman" w:hAnsi="Times New Roman" w:cs="Times New Roman"/>
          <w:b/>
          <w:sz w:val="24"/>
          <w:lang w:eastAsia="fr-FR"/>
        </w:rPr>
      </w:pPr>
      <w:r>
        <w:rPr>
          <w:rFonts w:ascii="Times New Roman" w:hAnsi="Times New Roman" w:cs="Times New Roman"/>
          <w:b/>
          <w:sz w:val="24"/>
          <w:lang w:eastAsia="fr-FR"/>
        </w:rPr>
        <w:t>Lieu : Société de Géographie (</w:t>
      </w:r>
      <w:r w:rsidRPr="00851E64">
        <w:rPr>
          <w:rFonts w:ascii="Times New Roman" w:hAnsi="Times New Roman" w:cs="Times New Roman"/>
          <w:b/>
          <w:sz w:val="24"/>
          <w:lang w:eastAsia="fr-FR"/>
        </w:rPr>
        <w:t>184 Bd Saint-Germain, 75006 Paris</w:t>
      </w:r>
      <w:r>
        <w:rPr>
          <w:rFonts w:ascii="Times New Roman" w:hAnsi="Times New Roman" w:cs="Times New Roman"/>
          <w:b/>
          <w:sz w:val="24"/>
          <w:lang w:eastAsia="fr-FR"/>
        </w:rPr>
        <w:t>)</w:t>
      </w:r>
    </w:p>
    <w:p w:rsidR="007855D4" w:rsidRPr="00851E64" w:rsidRDefault="007855D4" w:rsidP="007855D4">
      <w:pPr>
        <w:jc w:val="center"/>
        <w:rPr>
          <w:rFonts w:ascii="Times New Roman" w:hAnsi="Times New Roman" w:cs="Times New Roman"/>
          <w:b/>
          <w:sz w:val="24"/>
          <w:lang w:eastAsia="fr-FR"/>
        </w:rPr>
      </w:pPr>
      <w:r w:rsidRPr="00851E64">
        <w:rPr>
          <w:rFonts w:ascii="Times New Roman" w:hAnsi="Times New Roman" w:cs="Times New Roman"/>
          <w:b/>
          <w:sz w:val="24"/>
          <w:lang w:eastAsia="fr-FR"/>
        </w:rPr>
        <w:t>Room B</w:t>
      </w:r>
    </w:p>
    <w:p w:rsidR="00695D84" w:rsidRDefault="00A06C2C">
      <w:pPr>
        <w:jc w:val="both"/>
      </w:pPr>
      <w:proofErr w:type="spellStart"/>
      <w:r w:rsidRPr="00F411C5">
        <w:rPr>
          <w:rFonts w:ascii="Times New Roman" w:hAnsi="Times New Roman" w:cs="Times New Roman"/>
          <w:b/>
          <w:sz w:val="24"/>
          <w:lang w:eastAsia="fr-FR"/>
        </w:rPr>
        <w:t>Merryl</w:t>
      </w:r>
      <w:proofErr w:type="spellEnd"/>
      <w:r w:rsidRPr="00F411C5">
        <w:rPr>
          <w:rFonts w:ascii="Times New Roman" w:hAnsi="Times New Roman" w:cs="Times New Roman"/>
          <w:b/>
          <w:sz w:val="24"/>
          <w:lang w:eastAsia="fr-FR"/>
        </w:rPr>
        <w:t xml:space="preserve"> JOLY</w:t>
      </w:r>
      <w:r>
        <w:rPr>
          <w:rFonts w:ascii="Times New Roman" w:hAnsi="Times New Roman" w:cs="Times New Roman"/>
          <w:sz w:val="24"/>
          <w:lang w:eastAsia="fr-FR"/>
        </w:rPr>
        <w:t xml:space="preserve"> « L’hébergement touristique : un nouvel enjeu de régulation et de gouvernance pour les pouvoirs publics marocains »</w:t>
      </w:r>
    </w:p>
    <w:p w:rsidR="00695D84" w:rsidRDefault="00A06C2C">
      <w:pPr>
        <w:jc w:val="both"/>
      </w:pPr>
      <w:r w:rsidRPr="00F411C5">
        <w:rPr>
          <w:rFonts w:ascii="Times New Roman" w:hAnsi="Times New Roman" w:cs="Times New Roman"/>
          <w:b/>
          <w:sz w:val="24"/>
          <w:lang w:eastAsia="fr-FR"/>
        </w:rPr>
        <w:t xml:space="preserve">Bouchra </w:t>
      </w:r>
      <w:proofErr w:type="spellStart"/>
      <w:r w:rsidRPr="00F411C5">
        <w:rPr>
          <w:rFonts w:ascii="Times New Roman" w:hAnsi="Times New Roman" w:cs="Times New Roman"/>
          <w:b/>
          <w:sz w:val="24"/>
          <w:lang w:eastAsia="fr-FR"/>
        </w:rPr>
        <w:t>Jeddi</w:t>
      </w:r>
      <w:proofErr w:type="spellEnd"/>
      <w:r>
        <w:rPr>
          <w:rFonts w:ascii="Times New Roman" w:hAnsi="Times New Roman" w:cs="Times New Roman"/>
          <w:sz w:val="24"/>
          <w:lang w:eastAsia="fr-FR"/>
        </w:rPr>
        <w:t xml:space="preserve"> « Le développement territorial rural à travers le tourisme, un champ d’action de la coopération décentralisée Nord-Sud: Cas de la province « AZILAL » (MAROC) »</w:t>
      </w:r>
    </w:p>
    <w:p w:rsidR="00695D84" w:rsidRDefault="00A06C2C">
      <w:pPr>
        <w:jc w:val="both"/>
      </w:pPr>
      <w:proofErr w:type="spellStart"/>
      <w:r w:rsidRPr="00F411C5">
        <w:rPr>
          <w:rFonts w:ascii="Times New Roman" w:hAnsi="Times New Roman" w:cs="Times New Roman"/>
          <w:b/>
          <w:sz w:val="24"/>
          <w:lang w:eastAsia="fr-FR"/>
        </w:rPr>
        <w:t>Damiano</w:t>
      </w:r>
      <w:proofErr w:type="spellEnd"/>
      <w:r w:rsidRPr="00F411C5">
        <w:rPr>
          <w:rFonts w:ascii="Times New Roman" w:hAnsi="Times New Roman" w:cs="Times New Roman"/>
          <w:b/>
          <w:sz w:val="24"/>
          <w:lang w:eastAsia="fr-FR"/>
        </w:rPr>
        <w:t xml:space="preserve"> De FACCI</w:t>
      </w:r>
      <w:r>
        <w:rPr>
          <w:rFonts w:ascii="Times New Roman" w:hAnsi="Times New Roman" w:cs="Times New Roman"/>
          <w:sz w:val="24"/>
          <w:lang w:eastAsia="fr-FR"/>
        </w:rPr>
        <w:t xml:space="preserve"> « </w:t>
      </w:r>
      <w:r>
        <w:rPr>
          <w:rFonts w:ascii="Times New Roman" w:hAnsi="Times New Roman" w:cs="Times New Roman"/>
          <w:bCs/>
          <w:sz w:val="24"/>
        </w:rPr>
        <w:t>L’entrepreneuriat au Maghreb comme instrument de développement local : les limites d’une politique publique »</w:t>
      </w:r>
    </w:p>
    <w:p w:rsidR="00695D84" w:rsidRDefault="00A06C2C">
      <w:pPr>
        <w:jc w:val="both"/>
      </w:pPr>
      <w:proofErr w:type="spellStart"/>
      <w:r w:rsidRPr="00F411C5">
        <w:rPr>
          <w:rFonts w:ascii="Times New Roman" w:hAnsi="Times New Roman" w:cs="Times New Roman"/>
          <w:b/>
          <w:sz w:val="24"/>
          <w:lang w:eastAsia="fr-FR"/>
        </w:rPr>
        <w:t>Said</w:t>
      </w:r>
      <w:proofErr w:type="spellEnd"/>
      <w:r w:rsidRPr="00F411C5">
        <w:rPr>
          <w:rFonts w:ascii="Times New Roman" w:hAnsi="Times New Roman" w:cs="Times New Roman"/>
          <w:b/>
          <w:sz w:val="24"/>
          <w:lang w:eastAsia="fr-FR"/>
        </w:rPr>
        <w:t xml:space="preserve"> </w:t>
      </w:r>
      <w:proofErr w:type="spellStart"/>
      <w:r w:rsidRPr="00F411C5">
        <w:rPr>
          <w:rFonts w:ascii="Times New Roman" w:hAnsi="Times New Roman" w:cs="Times New Roman"/>
          <w:b/>
          <w:sz w:val="24"/>
          <w:lang w:eastAsia="fr-FR"/>
        </w:rPr>
        <w:t>Boujrouf</w:t>
      </w:r>
      <w:proofErr w:type="spellEnd"/>
      <w:r>
        <w:rPr>
          <w:rFonts w:ascii="Times New Roman" w:hAnsi="Times New Roman" w:cs="Times New Roman"/>
          <w:sz w:val="24"/>
          <w:lang w:eastAsia="fr-FR"/>
        </w:rPr>
        <w:t xml:space="preserve"> « </w:t>
      </w:r>
      <w:r>
        <w:rPr>
          <w:rFonts w:ascii="Times New Roman" w:hAnsi="Times New Roman" w:cs="Times New Roman"/>
          <w:bCs/>
          <w:sz w:val="24"/>
          <w:lang w:eastAsia="fr-FR"/>
        </w:rPr>
        <w:t>Inadaptation des actions publiques et globales dans les « zones cachées » au développement territorial standardisé de la région de Marrakech Safi- Maroc »</w:t>
      </w:r>
    </w:p>
    <w:p w:rsidR="00695D84" w:rsidRDefault="00695D84">
      <w:pPr>
        <w:jc w:val="both"/>
        <w:rPr>
          <w:rFonts w:ascii="Times New Roman" w:hAnsi="Times New Roman" w:cs="Times New Roman"/>
          <w:sz w:val="24"/>
          <w:lang w:eastAsia="fr-FR"/>
        </w:rPr>
      </w:pPr>
    </w:p>
    <w:p w:rsidR="00695D84" w:rsidRDefault="00A06C2C">
      <w:pPr>
        <w:jc w:val="center"/>
      </w:pPr>
      <w:r>
        <w:rPr>
          <w:rFonts w:ascii="Times New Roman" w:hAnsi="Times New Roman" w:cs="Times New Roman"/>
          <w:b/>
          <w:sz w:val="24"/>
          <w:lang w:eastAsia="fr-FR"/>
        </w:rPr>
        <w:t>SESSION 2</w:t>
      </w:r>
      <w:r w:rsidR="00F23F31">
        <w:rPr>
          <w:rFonts w:ascii="Times New Roman" w:hAnsi="Times New Roman" w:cs="Times New Roman"/>
          <w:b/>
          <w:sz w:val="24"/>
          <w:lang w:eastAsia="fr-FR"/>
        </w:rPr>
        <w:t xml:space="preserve"> [A101636IC]</w:t>
      </w:r>
    </w:p>
    <w:p w:rsidR="00695D84" w:rsidRPr="00F411C5" w:rsidRDefault="00F411C5">
      <w:pPr>
        <w:jc w:val="center"/>
        <w:rPr>
          <w:rFonts w:ascii="Times New Roman" w:hAnsi="Times New Roman" w:cs="Times New Roman"/>
          <w:b/>
          <w:i/>
          <w:sz w:val="24"/>
          <w:u w:val="single"/>
          <w:lang w:eastAsia="fr-FR"/>
        </w:rPr>
      </w:pPr>
      <w:r w:rsidRPr="00F411C5">
        <w:rPr>
          <w:rFonts w:ascii="Times New Roman" w:hAnsi="Times New Roman" w:cs="Times New Roman"/>
          <w:b/>
          <w:i/>
          <w:sz w:val="24"/>
          <w:u w:val="single"/>
          <w:lang w:eastAsia="fr-FR"/>
        </w:rPr>
        <w:t>21 juillet 2022 (</w:t>
      </w:r>
      <w:r w:rsidR="00A06C2C" w:rsidRPr="00F411C5">
        <w:rPr>
          <w:rFonts w:ascii="Times New Roman" w:hAnsi="Times New Roman" w:cs="Times New Roman"/>
          <w:b/>
          <w:i/>
          <w:sz w:val="24"/>
          <w:u w:val="single"/>
          <w:lang w:eastAsia="fr-FR"/>
        </w:rPr>
        <w:t>10h30-12h15</w:t>
      </w:r>
      <w:r w:rsidRPr="00F411C5">
        <w:rPr>
          <w:rFonts w:ascii="Times New Roman" w:hAnsi="Times New Roman" w:cs="Times New Roman"/>
          <w:b/>
          <w:i/>
          <w:sz w:val="24"/>
          <w:u w:val="single"/>
          <w:lang w:eastAsia="fr-FR"/>
        </w:rPr>
        <w:t>)</w:t>
      </w:r>
    </w:p>
    <w:p w:rsidR="00851E64" w:rsidRDefault="00851E64" w:rsidP="00851E64">
      <w:pPr>
        <w:jc w:val="center"/>
        <w:rPr>
          <w:rFonts w:ascii="Times New Roman" w:hAnsi="Times New Roman" w:cs="Times New Roman"/>
          <w:b/>
          <w:sz w:val="24"/>
          <w:lang w:eastAsia="fr-FR"/>
        </w:rPr>
      </w:pPr>
      <w:r>
        <w:rPr>
          <w:rFonts w:ascii="Times New Roman" w:hAnsi="Times New Roman" w:cs="Times New Roman"/>
          <w:b/>
          <w:sz w:val="24"/>
          <w:lang w:eastAsia="fr-FR"/>
        </w:rPr>
        <w:t>Lieu : Société de Géographie (</w:t>
      </w:r>
      <w:r w:rsidRPr="00851E64">
        <w:rPr>
          <w:rFonts w:ascii="Times New Roman" w:hAnsi="Times New Roman" w:cs="Times New Roman"/>
          <w:b/>
          <w:sz w:val="24"/>
          <w:lang w:eastAsia="fr-FR"/>
        </w:rPr>
        <w:t>184 Bd Saint-Germain, 75006 Paris</w:t>
      </w:r>
      <w:r>
        <w:rPr>
          <w:rFonts w:ascii="Times New Roman" w:hAnsi="Times New Roman" w:cs="Times New Roman"/>
          <w:b/>
          <w:sz w:val="24"/>
          <w:lang w:eastAsia="fr-FR"/>
        </w:rPr>
        <w:t>)</w:t>
      </w:r>
    </w:p>
    <w:p w:rsidR="00851E64" w:rsidRPr="00851E64" w:rsidRDefault="00851E64" w:rsidP="00851E64">
      <w:pPr>
        <w:jc w:val="center"/>
        <w:rPr>
          <w:rFonts w:ascii="Times New Roman" w:hAnsi="Times New Roman" w:cs="Times New Roman"/>
          <w:b/>
          <w:sz w:val="24"/>
          <w:lang w:eastAsia="fr-FR"/>
        </w:rPr>
      </w:pPr>
      <w:r w:rsidRPr="00851E64">
        <w:rPr>
          <w:rFonts w:ascii="Times New Roman" w:hAnsi="Times New Roman" w:cs="Times New Roman"/>
          <w:b/>
          <w:sz w:val="24"/>
          <w:lang w:eastAsia="fr-FR"/>
        </w:rPr>
        <w:t>Room B</w:t>
      </w:r>
    </w:p>
    <w:p w:rsidR="00695D84" w:rsidRDefault="00A06C2C">
      <w:pPr>
        <w:jc w:val="both"/>
      </w:pPr>
      <w:r w:rsidRPr="00F411C5">
        <w:rPr>
          <w:rFonts w:ascii="Times New Roman" w:hAnsi="Times New Roman" w:cs="Times New Roman"/>
          <w:b/>
          <w:bCs/>
          <w:sz w:val="24"/>
          <w:lang w:eastAsia="fr-FR"/>
        </w:rPr>
        <w:t xml:space="preserve">Brahim </w:t>
      </w:r>
      <w:proofErr w:type="spellStart"/>
      <w:r w:rsidRPr="00F411C5">
        <w:rPr>
          <w:rFonts w:ascii="Times New Roman" w:hAnsi="Times New Roman" w:cs="Times New Roman"/>
          <w:b/>
          <w:bCs/>
          <w:sz w:val="24"/>
          <w:lang w:eastAsia="fr-FR"/>
        </w:rPr>
        <w:t>Badidi</w:t>
      </w:r>
      <w:proofErr w:type="spellEnd"/>
      <w:r>
        <w:rPr>
          <w:rFonts w:ascii="Times New Roman" w:hAnsi="Times New Roman" w:cs="Times New Roman"/>
          <w:bCs/>
          <w:sz w:val="24"/>
          <w:lang w:eastAsia="fr-FR"/>
        </w:rPr>
        <w:t xml:space="preserve"> « </w:t>
      </w:r>
      <w:r>
        <w:rPr>
          <w:rFonts w:ascii="Times New Roman" w:hAnsi="Times New Roman" w:cs="Times New Roman"/>
          <w:sz w:val="24"/>
          <w:lang w:eastAsia="fr-FR"/>
        </w:rPr>
        <w:t>Les nouveaux dispositifs de mise en valeur des produits de l’oléiculture : outil de recomposition des systèmes de production et des territoires d'"arrière-pays" au Maroc</w:t>
      </w:r>
      <w:r w:rsidR="00860FA2">
        <w:rPr>
          <w:rFonts w:ascii="Times New Roman" w:hAnsi="Times New Roman" w:cs="Times New Roman"/>
          <w:sz w:val="24"/>
          <w:lang w:eastAsia="fr-FR"/>
        </w:rPr>
        <w:t> »</w:t>
      </w:r>
    </w:p>
    <w:p w:rsidR="00695D84" w:rsidRDefault="00A06C2C">
      <w:pPr>
        <w:jc w:val="both"/>
      </w:pPr>
      <w:r w:rsidRPr="00F411C5">
        <w:rPr>
          <w:rFonts w:ascii="Times New Roman" w:hAnsi="Times New Roman" w:cs="Times New Roman"/>
          <w:b/>
          <w:sz w:val="24"/>
          <w:lang w:eastAsia="fr-FR"/>
        </w:rPr>
        <w:t xml:space="preserve">Bouchra </w:t>
      </w:r>
      <w:proofErr w:type="spellStart"/>
      <w:r w:rsidRPr="00F411C5">
        <w:rPr>
          <w:rFonts w:ascii="Times New Roman" w:hAnsi="Times New Roman" w:cs="Times New Roman"/>
          <w:b/>
          <w:sz w:val="24"/>
          <w:lang w:eastAsia="fr-FR"/>
        </w:rPr>
        <w:t>Karroud</w:t>
      </w:r>
      <w:proofErr w:type="spellEnd"/>
      <w:r>
        <w:rPr>
          <w:rFonts w:ascii="Times New Roman" w:hAnsi="Times New Roman" w:cs="Times New Roman"/>
          <w:sz w:val="24"/>
          <w:lang w:eastAsia="fr-FR"/>
        </w:rPr>
        <w:t xml:space="preserve"> « Le lavandin à </w:t>
      </w:r>
      <w:proofErr w:type="spellStart"/>
      <w:r>
        <w:rPr>
          <w:rFonts w:ascii="Times New Roman" w:hAnsi="Times New Roman" w:cs="Times New Roman"/>
          <w:sz w:val="24"/>
          <w:lang w:eastAsia="fr-FR"/>
        </w:rPr>
        <w:t>Oulmès</w:t>
      </w:r>
      <w:proofErr w:type="spellEnd"/>
      <w:r>
        <w:rPr>
          <w:rFonts w:ascii="Times New Roman" w:hAnsi="Times New Roman" w:cs="Times New Roman"/>
          <w:sz w:val="24"/>
          <w:lang w:eastAsia="fr-FR"/>
        </w:rPr>
        <w:t xml:space="preserve"> (Plateau central marocain). La trajectoire perturbée d’une spécificité en construction »</w:t>
      </w:r>
    </w:p>
    <w:p w:rsidR="00695D84" w:rsidRDefault="00A06C2C">
      <w:pPr>
        <w:jc w:val="both"/>
      </w:pPr>
      <w:proofErr w:type="spellStart"/>
      <w:r w:rsidRPr="00F411C5">
        <w:rPr>
          <w:rFonts w:ascii="Times New Roman" w:hAnsi="Times New Roman" w:cs="Times New Roman"/>
          <w:b/>
          <w:sz w:val="24"/>
          <w:lang w:eastAsia="fr-FR"/>
        </w:rPr>
        <w:t>Majda</w:t>
      </w:r>
      <w:proofErr w:type="spellEnd"/>
      <w:r w:rsidRPr="00F411C5">
        <w:rPr>
          <w:rFonts w:ascii="Times New Roman" w:hAnsi="Times New Roman" w:cs="Times New Roman"/>
          <w:b/>
          <w:sz w:val="24"/>
          <w:lang w:eastAsia="fr-FR"/>
        </w:rPr>
        <w:t xml:space="preserve"> </w:t>
      </w:r>
      <w:proofErr w:type="spellStart"/>
      <w:r w:rsidRPr="00F411C5">
        <w:rPr>
          <w:rFonts w:ascii="Times New Roman" w:hAnsi="Times New Roman" w:cs="Times New Roman"/>
          <w:b/>
          <w:sz w:val="24"/>
          <w:lang w:eastAsia="fr-FR"/>
        </w:rPr>
        <w:t>Mourou</w:t>
      </w:r>
      <w:proofErr w:type="spellEnd"/>
      <w:r>
        <w:rPr>
          <w:rFonts w:ascii="Times New Roman" w:hAnsi="Times New Roman" w:cs="Times New Roman"/>
          <w:sz w:val="24"/>
          <w:lang w:eastAsia="fr-FR"/>
        </w:rPr>
        <w:t xml:space="preserve"> « </w:t>
      </w:r>
      <w:r>
        <w:rPr>
          <w:rFonts w:ascii="Times New Roman" w:hAnsi="Times New Roman" w:cs="Times New Roman"/>
          <w:bCs/>
          <w:sz w:val="24"/>
          <w:lang w:eastAsia="fr-FR"/>
        </w:rPr>
        <w:t xml:space="preserve">Les terroirs du Figuier : Analyse du processus de mise en spécificité et de recomposition des territoires par les politiques de valorisation des produits de terroir dans le pays des Ait </w:t>
      </w:r>
      <w:proofErr w:type="spellStart"/>
      <w:r>
        <w:rPr>
          <w:rFonts w:ascii="Times New Roman" w:hAnsi="Times New Roman" w:cs="Times New Roman"/>
          <w:bCs/>
          <w:sz w:val="24"/>
          <w:lang w:eastAsia="fr-FR"/>
        </w:rPr>
        <w:t>Baamrane</w:t>
      </w:r>
      <w:proofErr w:type="spellEnd"/>
      <w:r>
        <w:rPr>
          <w:rFonts w:ascii="Times New Roman" w:hAnsi="Times New Roman" w:cs="Times New Roman"/>
          <w:bCs/>
          <w:sz w:val="24"/>
          <w:lang w:eastAsia="fr-FR"/>
        </w:rPr>
        <w:t xml:space="preserve"> à l’Anti Atlas Occidental du Maroc</w:t>
      </w:r>
      <w:r w:rsidR="00F411C5">
        <w:rPr>
          <w:rFonts w:ascii="Times New Roman" w:hAnsi="Times New Roman" w:cs="Times New Roman"/>
          <w:bCs/>
          <w:sz w:val="24"/>
          <w:lang w:eastAsia="fr-FR"/>
        </w:rPr>
        <w:t xml:space="preserve"> </w:t>
      </w:r>
      <w:r>
        <w:rPr>
          <w:rFonts w:ascii="Times New Roman" w:hAnsi="Times New Roman" w:cs="Times New Roman"/>
          <w:bCs/>
          <w:sz w:val="24"/>
          <w:lang w:eastAsia="fr-FR"/>
        </w:rPr>
        <w:t>»</w:t>
      </w:r>
    </w:p>
    <w:p w:rsidR="00695D84" w:rsidRDefault="00A06C2C">
      <w:pPr>
        <w:jc w:val="both"/>
      </w:pPr>
      <w:proofErr w:type="spellStart"/>
      <w:r w:rsidRPr="00F411C5">
        <w:rPr>
          <w:rFonts w:ascii="Times New Roman" w:hAnsi="Times New Roman" w:cs="Times New Roman"/>
          <w:b/>
          <w:bCs/>
          <w:sz w:val="24"/>
          <w:lang w:eastAsia="fr-FR"/>
        </w:rPr>
        <w:t>Benhsain</w:t>
      </w:r>
      <w:proofErr w:type="spellEnd"/>
      <w:r w:rsidRPr="00F411C5">
        <w:rPr>
          <w:rFonts w:ascii="Times New Roman" w:hAnsi="Times New Roman" w:cs="Times New Roman"/>
          <w:b/>
          <w:bCs/>
          <w:sz w:val="24"/>
          <w:lang w:eastAsia="fr-FR"/>
        </w:rPr>
        <w:t xml:space="preserve"> </w:t>
      </w:r>
      <w:proofErr w:type="spellStart"/>
      <w:r w:rsidRPr="00F411C5">
        <w:rPr>
          <w:rFonts w:ascii="Times New Roman" w:hAnsi="Times New Roman" w:cs="Times New Roman"/>
          <w:b/>
          <w:bCs/>
          <w:sz w:val="24"/>
          <w:lang w:eastAsia="fr-FR"/>
        </w:rPr>
        <w:t>Wafaa</w:t>
      </w:r>
      <w:proofErr w:type="spellEnd"/>
      <w:r>
        <w:rPr>
          <w:rFonts w:ascii="Times New Roman" w:hAnsi="Times New Roman" w:cs="Times New Roman"/>
          <w:bCs/>
          <w:sz w:val="24"/>
          <w:lang w:eastAsia="fr-FR"/>
        </w:rPr>
        <w:t xml:space="preserve"> « Réserve </w:t>
      </w:r>
      <w:r>
        <w:rPr>
          <w:rFonts w:ascii="Times New Roman" w:hAnsi="Times New Roman" w:cs="Times New Roman"/>
          <w:bCs/>
          <w:sz w:val="24"/>
        </w:rPr>
        <w:t>de Biosphère d’Arganeraie : Innovation, émergence et recomposition des territoires. Cas de la vallée d’</w:t>
      </w:r>
      <w:proofErr w:type="spellStart"/>
      <w:r>
        <w:rPr>
          <w:rFonts w:ascii="Times New Roman" w:hAnsi="Times New Roman" w:cs="Times New Roman"/>
          <w:bCs/>
          <w:sz w:val="24"/>
        </w:rPr>
        <w:t>Ammlen</w:t>
      </w:r>
      <w:proofErr w:type="spellEnd"/>
      <w:r>
        <w:rPr>
          <w:rFonts w:ascii="Times New Roman" w:hAnsi="Times New Roman" w:cs="Times New Roman"/>
          <w:bCs/>
          <w:sz w:val="24"/>
        </w:rPr>
        <w:t>-Maroc</w:t>
      </w:r>
      <w:r w:rsidR="00F411C5">
        <w:rPr>
          <w:rFonts w:ascii="Times New Roman" w:hAnsi="Times New Roman" w:cs="Times New Roman"/>
          <w:bCs/>
          <w:sz w:val="24"/>
        </w:rPr>
        <w:t> »</w:t>
      </w:r>
    </w:p>
    <w:p w:rsidR="00695D84" w:rsidRDefault="00A06C2C">
      <w:pPr>
        <w:jc w:val="both"/>
      </w:pPr>
      <w:r w:rsidRPr="00586165">
        <w:rPr>
          <w:rFonts w:ascii="Times New Roman" w:hAnsi="Times New Roman" w:cs="Times New Roman"/>
          <w:b/>
          <w:bCs/>
          <w:sz w:val="24"/>
        </w:rPr>
        <w:lastRenderedPageBreak/>
        <w:t>Amandine Cormier</w:t>
      </w:r>
      <w:r>
        <w:rPr>
          <w:rFonts w:ascii="Times New Roman" w:hAnsi="Times New Roman" w:cs="Times New Roman"/>
          <w:bCs/>
          <w:sz w:val="24"/>
        </w:rPr>
        <w:t xml:space="preserve"> « La valorisation des produits du terroir au Maroc par les coopératives de femmes rurales : prise en charge commune des destins individuels d’un groupe marginalisé ou mise en vitrine politique du développement rural solidaire ? »</w:t>
      </w:r>
    </w:p>
    <w:p w:rsidR="00695D84" w:rsidRDefault="00695D84">
      <w:pPr>
        <w:jc w:val="both"/>
        <w:rPr>
          <w:rFonts w:ascii="Times New Roman" w:hAnsi="Times New Roman" w:cs="Times New Roman"/>
          <w:szCs w:val="21"/>
          <w:lang w:eastAsia="fr-FR"/>
        </w:rPr>
      </w:pPr>
    </w:p>
    <w:p w:rsidR="00695D84" w:rsidRDefault="0064571F" w:rsidP="0064571F">
      <w:pPr>
        <w:jc w:val="center"/>
      </w:pPr>
      <w:r>
        <w:t>*****</w:t>
      </w:r>
    </w:p>
    <w:p w:rsidR="0064571F" w:rsidRPr="0064571F" w:rsidRDefault="0064571F" w:rsidP="0064571F">
      <w:pPr>
        <w:shd w:val="clear" w:color="auto" w:fill="FFFFFF"/>
        <w:spacing w:before="120" w:after="120" w:line="240" w:lineRule="auto"/>
        <w:jc w:val="both"/>
        <w:rPr>
          <w:rFonts w:ascii="Times New Roman" w:eastAsia="Times New Roman" w:hAnsi="Times New Roman" w:cs="Times New Roman"/>
          <w:color w:val="26282A"/>
          <w:sz w:val="24"/>
          <w:szCs w:val="24"/>
          <w:lang w:eastAsia="fr-FR"/>
        </w:rPr>
      </w:pPr>
      <w:r w:rsidRPr="0064571F">
        <w:rPr>
          <w:rFonts w:ascii="Times New Roman" w:eastAsia="Times New Roman" w:hAnsi="Times New Roman" w:cs="Times New Roman"/>
          <w:color w:val="26282A"/>
          <w:sz w:val="24"/>
          <w:szCs w:val="24"/>
          <w:lang w:eastAsia="fr-FR"/>
        </w:rPr>
        <w:t xml:space="preserve">La session proposée s’inscrit dans le cadre de la commission IGU </w:t>
      </w:r>
      <w:proofErr w:type="spellStart"/>
      <w:r w:rsidRPr="0064571F">
        <w:rPr>
          <w:rFonts w:ascii="Times New Roman" w:eastAsia="Times New Roman" w:hAnsi="Times New Roman" w:cs="Times New Roman"/>
          <w:color w:val="26282A"/>
          <w:sz w:val="24"/>
          <w:szCs w:val="24"/>
          <w:lang w:eastAsia="fr-FR"/>
        </w:rPr>
        <w:t>Geographical</w:t>
      </w:r>
      <w:proofErr w:type="spellEnd"/>
      <w:r w:rsidRPr="0064571F">
        <w:rPr>
          <w:rFonts w:ascii="Times New Roman" w:eastAsia="Times New Roman" w:hAnsi="Times New Roman" w:cs="Times New Roman"/>
          <w:color w:val="26282A"/>
          <w:sz w:val="24"/>
          <w:szCs w:val="24"/>
          <w:lang w:eastAsia="fr-FR"/>
        </w:rPr>
        <w:t xml:space="preserve"> </w:t>
      </w:r>
      <w:proofErr w:type="spellStart"/>
      <w:r w:rsidRPr="0064571F">
        <w:rPr>
          <w:rFonts w:ascii="Times New Roman" w:eastAsia="Times New Roman" w:hAnsi="Times New Roman" w:cs="Times New Roman"/>
          <w:color w:val="26282A"/>
          <w:sz w:val="24"/>
          <w:szCs w:val="24"/>
          <w:lang w:eastAsia="fr-FR"/>
        </w:rPr>
        <w:t>Marginality</w:t>
      </w:r>
      <w:proofErr w:type="spellEnd"/>
      <w:r w:rsidRPr="0064571F">
        <w:rPr>
          <w:rFonts w:ascii="Times New Roman" w:eastAsia="Times New Roman" w:hAnsi="Times New Roman" w:cs="Times New Roman"/>
          <w:color w:val="26282A"/>
          <w:sz w:val="24"/>
          <w:szCs w:val="24"/>
          <w:lang w:eastAsia="fr-FR"/>
        </w:rPr>
        <w:t xml:space="preserve"> : </w:t>
      </w:r>
      <w:hyperlink r:id="rId5" w:history="1">
        <w:r w:rsidRPr="0064571F">
          <w:rPr>
            <w:rStyle w:val="Lienhypertexte"/>
            <w:rFonts w:ascii="Times New Roman" w:eastAsia="Times New Roman" w:hAnsi="Times New Roman" w:cs="Times New Roman"/>
            <w:sz w:val="24"/>
            <w:szCs w:val="24"/>
            <w:lang w:eastAsia="fr-FR"/>
          </w:rPr>
          <w:t xml:space="preserve">C20.32 </w:t>
        </w:r>
        <w:proofErr w:type="spellStart"/>
        <w:r w:rsidRPr="0064571F">
          <w:rPr>
            <w:rStyle w:val="Lienhypertexte"/>
            <w:rFonts w:ascii="Times New Roman" w:eastAsia="Times New Roman" w:hAnsi="Times New Roman" w:cs="Times New Roman"/>
            <w:b/>
            <w:sz w:val="24"/>
            <w:szCs w:val="24"/>
            <w:lang w:eastAsia="fr-FR"/>
          </w:rPr>
          <w:t>Marginalization</w:t>
        </w:r>
        <w:proofErr w:type="spellEnd"/>
        <w:r w:rsidRPr="0064571F">
          <w:rPr>
            <w:rStyle w:val="Lienhypertexte"/>
            <w:rFonts w:ascii="Times New Roman" w:eastAsia="Times New Roman" w:hAnsi="Times New Roman" w:cs="Times New Roman"/>
            <w:b/>
            <w:sz w:val="24"/>
            <w:szCs w:val="24"/>
            <w:lang w:eastAsia="fr-FR"/>
          </w:rPr>
          <w:t xml:space="preserve">, </w:t>
        </w:r>
        <w:proofErr w:type="spellStart"/>
        <w:r w:rsidRPr="0064571F">
          <w:rPr>
            <w:rStyle w:val="Lienhypertexte"/>
            <w:rFonts w:ascii="Times New Roman" w:eastAsia="Times New Roman" w:hAnsi="Times New Roman" w:cs="Times New Roman"/>
            <w:b/>
            <w:sz w:val="24"/>
            <w:szCs w:val="24"/>
            <w:lang w:eastAsia="fr-FR"/>
          </w:rPr>
          <w:t>Globalization</w:t>
        </w:r>
        <w:proofErr w:type="spellEnd"/>
        <w:r w:rsidRPr="0064571F">
          <w:rPr>
            <w:rStyle w:val="Lienhypertexte"/>
            <w:rFonts w:ascii="Times New Roman" w:eastAsia="Times New Roman" w:hAnsi="Times New Roman" w:cs="Times New Roman"/>
            <w:b/>
            <w:sz w:val="24"/>
            <w:szCs w:val="24"/>
            <w:lang w:eastAsia="fr-FR"/>
          </w:rPr>
          <w:t xml:space="preserve">, and </w:t>
        </w:r>
        <w:proofErr w:type="spellStart"/>
        <w:r w:rsidRPr="0064571F">
          <w:rPr>
            <w:rStyle w:val="Lienhypertexte"/>
            <w:rFonts w:ascii="Times New Roman" w:eastAsia="Times New Roman" w:hAnsi="Times New Roman" w:cs="Times New Roman"/>
            <w:b/>
            <w:sz w:val="24"/>
            <w:szCs w:val="24"/>
            <w:lang w:eastAsia="fr-FR"/>
          </w:rPr>
          <w:t>Regional</w:t>
        </w:r>
        <w:proofErr w:type="spellEnd"/>
        <w:r w:rsidRPr="0064571F">
          <w:rPr>
            <w:rStyle w:val="Lienhypertexte"/>
            <w:rFonts w:ascii="Times New Roman" w:eastAsia="Times New Roman" w:hAnsi="Times New Roman" w:cs="Times New Roman"/>
            <w:b/>
            <w:sz w:val="24"/>
            <w:szCs w:val="24"/>
            <w:lang w:eastAsia="fr-FR"/>
          </w:rPr>
          <w:t xml:space="preserve"> and Local </w:t>
        </w:r>
        <w:proofErr w:type="spellStart"/>
        <w:r w:rsidRPr="0064571F">
          <w:rPr>
            <w:rStyle w:val="Lienhypertexte"/>
            <w:rFonts w:ascii="Times New Roman" w:eastAsia="Times New Roman" w:hAnsi="Times New Roman" w:cs="Times New Roman"/>
            <w:b/>
            <w:sz w:val="24"/>
            <w:szCs w:val="24"/>
            <w:lang w:eastAsia="fr-FR"/>
          </w:rPr>
          <w:t>Responses</w:t>
        </w:r>
        <w:proofErr w:type="spellEnd"/>
        <w:r w:rsidRPr="0064571F">
          <w:rPr>
            <w:rStyle w:val="Lienhypertexte"/>
            <w:rFonts w:ascii="Times New Roman" w:eastAsia="Times New Roman" w:hAnsi="Times New Roman" w:cs="Times New Roman"/>
            <w:b/>
            <w:sz w:val="24"/>
            <w:szCs w:val="24"/>
            <w:lang w:eastAsia="fr-FR"/>
          </w:rPr>
          <w:t> </w:t>
        </w:r>
      </w:hyperlink>
    </w:p>
    <w:p w:rsidR="00695D84" w:rsidRDefault="00695D84"/>
    <w:p w:rsidR="00F63DF5" w:rsidRDefault="00F63DF5" w:rsidP="00F63DF5">
      <w:pPr>
        <w:pStyle w:val="Default"/>
        <w:jc w:val="center"/>
        <w:rPr>
          <w:sz w:val="28"/>
          <w:szCs w:val="28"/>
        </w:rPr>
      </w:pPr>
      <w:r>
        <w:rPr>
          <w:b/>
          <w:bCs/>
          <w:sz w:val="28"/>
          <w:szCs w:val="28"/>
        </w:rPr>
        <w:t>DESCRIPTION DE LA SESSION</w:t>
      </w:r>
    </w:p>
    <w:p w:rsidR="00F63DF5" w:rsidRDefault="00F63DF5" w:rsidP="00F63DF5">
      <w:pPr>
        <w:pStyle w:val="Default"/>
      </w:pPr>
    </w:p>
    <w:p w:rsidR="00F63DF5" w:rsidRDefault="00F63DF5" w:rsidP="00F63DF5">
      <w:pPr>
        <w:pStyle w:val="Default"/>
        <w:jc w:val="center"/>
        <w:rPr>
          <w:b/>
          <w:bCs/>
          <w:sz w:val="28"/>
          <w:szCs w:val="28"/>
        </w:rPr>
      </w:pPr>
      <w:r>
        <w:rPr>
          <w:b/>
          <w:bCs/>
          <w:sz w:val="28"/>
          <w:szCs w:val="28"/>
        </w:rPr>
        <w:t>La valorisation internationale du local au sud de la Méditerranée : entre impasses et recompositions territoriales</w:t>
      </w:r>
    </w:p>
    <w:p w:rsidR="00F63DF5" w:rsidRDefault="00F63DF5" w:rsidP="00F63DF5">
      <w:pPr>
        <w:pStyle w:val="Default"/>
        <w:rPr>
          <w:sz w:val="28"/>
          <w:szCs w:val="28"/>
        </w:rPr>
      </w:pPr>
    </w:p>
    <w:p w:rsidR="00F63DF5" w:rsidRPr="00F63DF5" w:rsidRDefault="00F63DF5" w:rsidP="00F63DF5">
      <w:pPr>
        <w:pStyle w:val="Default"/>
        <w:rPr>
          <w:color w:val="0000FF"/>
        </w:rPr>
      </w:pPr>
      <w:r w:rsidRPr="00F63DF5">
        <w:rPr>
          <w:b/>
          <w:bCs/>
        </w:rPr>
        <w:t xml:space="preserve">Animatrice : Carpentier, Irène, </w:t>
      </w:r>
      <w:r w:rsidRPr="00F63DF5">
        <w:t>laboratoire LADYSS, INALCO</w:t>
      </w:r>
      <w:r w:rsidRPr="00F63DF5">
        <w:rPr>
          <w:b/>
          <w:bCs/>
        </w:rPr>
        <w:t xml:space="preserve">, </w:t>
      </w:r>
      <w:r w:rsidRPr="00F63DF5">
        <w:rPr>
          <w:i/>
          <w:iCs/>
          <w:color w:val="0000FF"/>
        </w:rPr>
        <w:t xml:space="preserve">i.carpentier88@gmail.com </w:t>
      </w:r>
    </w:p>
    <w:p w:rsidR="00F63DF5" w:rsidRPr="00F63DF5" w:rsidRDefault="00F63DF5" w:rsidP="00F63DF5">
      <w:pPr>
        <w:pStyle w:val="Default"/>
        <w:rPr>
          <w:color w:val="0000FF"/>
        </w:rPr>
      </w:pPr>
      <w:r w:rsidRPr="00F63DF5">
        <w:rPr>
          <w:b/>
          <w:bCs/>
        </w:rPr>
        <w:t xml:space="preserve">Co-animatrice : </w:t>
      </w:r>
      <w:proofErr w:type="spellStart"/>
      <w:r w:rsidRPr="00F63DF5">
        <w:rPr>
          <w:b/>
          <w:bCs/>
        </w:rPr>
        <w:t>Khemiri</w:t>
      </w:r>
      <w:proofErr w:type="spellEnd"/>
      <w:r w:rsidRPr="00F63DF5">
        <w:rPr>
          <w:b/>
          <w:bCs/>
        </w:rPr>
        <w:t xml:space="preserve">, </w:t>
      </w:r>
      <w:proofErr w:type="spellStart"/>
      <w:r w:rsidRPr="00F63DF5">
        <w:rPr>
          <w:b/>
          <w:bCs/>
        </w:rPr>
        <w:t>Emna</w:t>
      </w:r>
      <w:proofErr w:type="spellEnd"/>
      <w:r w:rsidRPr="00F63DF5">
        <w:rPr>
          <w:b/>
          <w:bCs/>
        </w:rPr>
        <w:t xml:space="preserve">, </w:t>
      </w:r>
      <w:r w:rsidRPr="00F63DF5">
        <w:t>laboratoire LADYSS</w:t>
      </w:r>
      <w:r w:rsidRPr="00F63DF5">
        <w:rPr>
          <w:b/>
          <w:bCs/>
        </w:rPr>
        <w:t xml:space="preserve">, </w:t>
      </w:r>
      <w:r w:rsidRPr="00F63DF5">
        <w:rPr>
          <w:i/>
          <w:iCs/>
          <w:color w:val="0000FF"/>
        </w:rPr>
        <w:t xml:space="preserve">emna.khemiri@gmail.com </w:t>
      </w:r>
    </w:p>
    <w:p w:rsidR="00F63DF5" w:rsidRPr="00F63DF5" w:rsidRDefault="00F63DF5" w:rsidP="00F63DF5">
      <w:pPr>
        <w:pStyle w:val="Default"/>
        <w:rPr>
          <w:i/>
          <w:iCs/>
          <w:color w:val="0000FF"/>
        </w:rPr>
      </w:pPr>
      <w:r w:rsidRPr="00F63DF5">
        <w:rPr>
          <w:b/>
          <w:bCs/>
        </w:rPr>
        <w:t xml:space="preserve">Co-animateur : De </w:t>
      </w:r>
      <w:proofErr w:type="spellStart"/>
      <w:r w:rsidRPr="00F63DF5">
        <w:rPr>
          <w:b/>
          <w:bCs/>
        </w:rPr>
        <w:t>Facci</w:t>
      </w:r>
      <w:proofErr w:type="spellEnd"/>
      <w:r w:rsidRPr="00F63DF5">
        <w:rPr>
          <w:b/>
          <w:bCs/>
        </w:rPr>
        <w:t xml:space="preserve">, </w:t>
      </w:r>
      <w:proofErr w:type="spellStart"/>
      <w:r w:rsidRPr="00F63DF5">
        <w:rPr>
          <w:b/>
          <w:bCs/>
        </w:rPr>
        <w:t>Damiano</w:t>
      </w:r>
      <w:proofErr w:type="spellEnd"/>
      <w:r w:rsidRPr="00F63DF5">
        <w:rPr>
          <w:b/>
          <w:bCs/>
        </w:rPr>
        <w:t xml:space="preserve">, </w:t>
      </w:r>
      <w:r w:rsidRPr="00F63DF5">
        <w:t xml:space="preserve">laboratoire LADYSS, </w:t>
      </w:r>
      <w:hyperlink r:id="rId6" w:history="1">
        <w:r w:rsidRPr="00F63DF5">
          <w:rPr>
            <w:rStyle w:val="Lienhypertexte"/>
            <w:i/>
            <w:iCs/>
          </w:rPr>
          <w:t>damiano.defacci@gmail.com</w:t>
        </w:r>
      </w:hyperlink>
      <w:r w:rsidRPr="00F63DF5">
        <w:rPr>
          <w:i/>
          <w:iCs/>
          <w:color w:val="0000FF"/>
        </w:rPr>
        <w:t xml:space="preserve"> </w:t>
      </w:r>
    </w:p>
    <w:p w:rsidR="00F63DF5" w:rsidRPr="00F63DF5" w:rsidRDefault="00F63DF5" w:rsidP="00F63DF5">
      <w:pPr>
        <w:pStyle w:val="Default"/>
        <w:rPr>
          <w:color w:val="0000FF"/>
        </w:rPr>
      </w:pPr>
    </w:p>
    <w:p w:rsidR="00F63DF5" w:rsidRPr="00F63DF5" w:rsidRDefault="00F63DF5" w:rsidP="00F63DF5">
      <w:pPr>
        <w:pStyle w:val="Default"/>
        <w:spacing w:line="360" w:lineRule="auto"/>
        <w:jc w:val="both"/>
      </w:pPr>
      <w:r w:rsidRPr="00F63DF5">
        <w:t xml:space="preserve">Alors que la mondialisation a longtemps été considérée comme facteur d’homogénéisation des normes, des pratiques et des espaces, l’émergence d’une demande internationale de promotion du local, de ses ressources et spécificités (Théry, 2004) a contribué à ce que certains nomment le « tournant territorial de l’économie mondiale » (Pecqueur, 2012). Cette dynamique s’appuie sur des projets mobilisant des référentiels variés : projets d’économie solidaire et d’entrepreneuriat social, de commerce équitable, labellisation-, portés et véhiculés par des acteurs et structures aux intérêts souvent divergents -bailleurs de fonds, coopératives de production, organismes étatiques, associations, agriculteurs, petits entrepreneurs. Cette demande de local renvoie à des dynamiques en partie contradictoires. En premier lieu, si la demande internationale du local vise à promouvoir les spécificités des territoires, l’intégration internationale entraine une mise en conformité normative de territoires hétéroclites. En deuxième lieu, la valorisation du local à l’international fige le local dans une représentation uniforme, en faisant disparaitre les disparités sociales, les crises et conflits qui le traversent. Le local devient alors un produit marchand, conditionné par l’offre et la demande, et soumis aux règles et aux dynamiques concurrentielles de l’économie de marché. À ce titre, il apparaît parfois de plus en plus déconnecté des enjeux sociaux qui le constituent. </w:t>
      </w:r>
    </w:p>
    <w:p w:rsidR="00F63DF5" w:rsidRPr="00F63DF5" w:rsidRDefault="00F63DF5" w:rsidP="00F63DF5">
      <w:pPr>
        <w:pStyle w:val="Default"/>
        <w:spacing w:line="360" w:lineRule="auto"/>
        <w:jc w:val="both"/>
      </w:pPr>
      <w:r w:rsidRPr="00F63DF5">
        <w:t xml:space="preserve">Au sud de la Méditerranée, en particulier depuis 2011, l’exacerbation des tensions sociales, économiques et environnementales, donne lieu à de nombreuses mobilisations. Celles-ci revendiquent un modèle plus équitable et expriment la volonté de réappropriation des ressources locales, -l’eau, la terre, mais aussi les marchés et l’emploi. Ces mobilisations contribuent à la politisation des enjeux du développement local, notamment dans un contexte où les processus de décentralisation prétendent replacer le local au </w:t>
      </w:r>
      <w:proofErr w:type="spellStart"/>
      <w:r w:rsidRPr="00F63DF5">
        <w:t>coeur</w:t>
      </w:r>
      <w:proofErr w:type="spellEnd"/>
      <w:r w:rsidRPr="00F63DF5">
        <w:t xml:space="preserve"> de systèmes de pouvoir nationaux, historiquement très centraliste. </w:t>
      </w:r>
    </w:p>
    <w:p w:rsidR="00F63DF5" w:rsidRPr="00F63DF5" w:rsidRDefault="00F63DF5" w:rsidP="00F63DF5">
      <w:pPr>
        <w:pStyle w:val="Default"/>
        <w:spacing w:line="360" w:lineRule="auto"/>
        <w:jc w:val="both"/>
      </w:pPr>
      <w:r w:rsidRPr="00F63DF5">
        <w:rPr>
          <w:color w:val="212121"/>
        </w:rPr>
        <w:t xml:space="preserve">Les principales questions que l’on souhaiterait voir aborder dans cette session sont les suivantes : </w:t>
      </w:r>
    </w:p>
    <w:p w:rsidR="00F63DF5" w:rsidRPr="00F63DF5" w:rsidRDefault="00F63DF5" w:rsidP="00F63DF5">
      <w:pPr>
        <w:pStyle w:val="Default"/>
        <w:spacing w:after="46" w:line="360" w:lineRule="auto"/>
        <w:ind w:left="567"/>
        <w:jc w:val="both"/>
        <w:rPr>
          <w:i/>
          <w:iCs/>
          <w:color w:val="212121"/>
        </w:rPr>
      </w:pPr>
      <w:r w:rsidRPr="00F63DF5">
        <w:rPr>
          <w:color w:val="212121"/>
        </w:rPr>
        <w:t xml:space="preserve">• </w:t>
      </w:r>
      <w:r w:rsidRPr="00F63DF5">
        <w:rPr>
          <w:i/>
          <w:iCs/>
          <w:color w:val="212121"/>
        </w:rPr>
        <w:t xml:space="preserve">Les </w:t>
      </w:r>
      <w:r w:rsidRPr="00F63DF5">
        <w:rPr>
          <w:b/>
          <w:bCs/>
          <w:i/>
          <w:iCs/>
          <w:color w:val="212121"/>
        </w:rPr>
        <w:t xml:space="preserve">modalités de la promotion du local </w:t>
      </w:r>
      <w:r w:rsidRPr="00F63DF5">
        <w:rPr>
          <w:i/>
          <w:iCs/>
          <w:color w:val="212121"/>
        </w:rPr>
        <w:t xml:space="preserve">et de ses ressources à l’international. </w:t>
      </w:r>
    </w:p>
    <w:p w:rsidR="00F63DF5" w:rsidRPr="00F63DF5" w:rsidRDefault="00F63DF5" w:rsidP="00F63DF5">
      <w:pPr>
        <w:pStyle w:val="Default"/>
        <w:spacing w:after="46" w:line="360" w:lineRule="auto"/>
        <w:ind w:left="567"/>
        <w:jc w:val="both"/>
        <w:rPr>
          <w:i/>
          <w:iCs/>
          <w:color w:val="212121"/>
        </w:rPr>
      </w:pPr>
      <w:r w:rsidRPr="00F63DF5">
        <w:rPr>
          <w:color w:val="212121"/>
        </w:rPr>
        <w:t xml:space="preserve">• </w:t>
      </w:r>
      <w:r w:rsidRPr="00F63DF5">
        <w:rPr>
          <w:i/>
          <w:iCs/>
          <w:color w:val="212121"/>
        </w:rPr>
        <w:t xml:space="preserve">Au-delà de l'opposition local/global, </w:t>
      </w:r>
      <w:r w:rsidRPr="00F63DF5">
        <w:rPr>
          <w:b/>
          <w:bCs/>
          <w:i/>
          <w:iCs/>
          <w:color w:val="212121"/>
        </w:rPr>
        <w:t xml:space="preserve">interroger le rôle des pouvoirs publics nationaux </w:t>
      </w:r>
      <w:r w:rsidRPr="00F63DF5">
        <w:rPr>
          <w:i/>
          <w:iCs/>
          <w:color w:val="212121"/>
        </w:rPr>
        <w:t xml:space="preserve">dans la redéfinition des logiques du développement local. </w:t>
      </w:r>
    </w:p>
    <w:p w:rsidR="00F63DF5" w:rsidRPr="00F63DF5" w:rsidRDefault="00F63DF5" w:rsidP="00F63DF5">
      <w:pPr>
        <w:pStyle w:val="Default"/>
        <w:spacing w:after="46" w:line="360" w:lineRule="auto"/>
        <w:ind w:left="567"/>
        <w:jc w:val="both"/>
        <w:rPr>
          <w:i/>
          <w:iCs/>
          <w:color w:val="212121"/>
        </w:rPr>
      </w:pPr>
      <w:r w:rsidRPr="00F63DF5">
        <w:rPr>
          <w:color w:val="212121"/>
        </w:rPr>
        <w:t xml:space="preserve">• </w:t>
      </w:r>
      <w:r w:rsidRPr="00F63DF5">
        <w:rPr>
          <w:i/>
          <w:iCs/>
          <w:color w:val="212121"/>
        </w:rPr>
        <w:t xml:space="preserve">Question des </w:t>
      </w:r>
      <w:r w:rsidRPr="00F63DF5">
        <w:rPr>
          <w:b/>
          <w:bCs/>
          <w:i/>
          <w:iCs/>
          <w:color w:val="212121"/>
        </w:rPr>
        <w:t xml:space="preserve">conflits potentiels </w:t>
      </w:r>
      <w:r w:rsidRPr="00F63DF5">
        <w:rPr>
          <w:i/>
          <w:iCs/>
          <w:color w:val="212121"/>
        </w:rPr>
        <w:t xml:space="preserve">entre spécificités des </w:t>
      </w:r>
      <w:r w:rsidRPr="00F63DF5">
        <w:rPr>
          <w:b/>
          <w:bCs/>
          <w:i/>
          <w:iCs/>
          <w:color w:val="212121"/>
        </w:rPr>
        <w:t>ancrages locaux et normativité internationale</w:t>
      </w:r>
      <w:r w:rsidRPr="00F63DF5">
        <w:rPr>
          <w:i/>
          <w:iCs/>
          <w:color w:val="212121"/>
        </w:rPr>
        <w:t xml:space="preserve">, dans l'analyse de la </w:t>
      </w:r>
      <w:r w:rsidRPr="00F63DF5">
        <w:rPr>
          <w:b/>
          <w:bCs/>
          <w:i/>
          <w:iCs/>
          <w:color w:val="212121"/>
        </w:rPr>
        <w:t xml:space="preserve">diversité des recompositions socio-spatiales </w:t>
      </w:r>
      <w:r w:rsidRPr="00F63DF5">
        <w:rPr>
          <w:i/>
          <w:iCs/>
          <w:color w:val="212121"/>
        </w:rPr>
        <w:t xml:space="preserve">des territoires </w:t>
      </w:r>
    </w:p>
    <w:p w:rsidR="00F63DF5" w:rsidRPr="00F63DF5" w:rsidRDefault="00F63DF5" w:rsidP="00F63DF5">
      <w:pPr>
        <w:pStyle w:val="Default"/>
        <w:spacing w:after="46" w:line="360" w:lineRule="auto"/>
        <w:ind w:left="567"/>
        <w:jc w:val="both"/>
      </w:pPr>
      <w:r w:rsidRPr="00F63DF5">
        <w:rPr>
          <w:color w:val="212121"/>
        </w:rPr>
        <w:t xml:space="preserve">• </w:t>
      </w:r>
      <w:r w:rsidRPr="00F63DF5">
        <w:rPr>
          <w:i/>
          <w:iCs/>
          <w:color w:val="212121"/>
        </w:rPr>
        <w:t xml:space="preserve">Évaluation des </w:t>
      </w:r>
      <w:r w:rsidRPr="00F63DF5">
        <w:rPr>
          <w:b/>
          <w:bCs/>
          <w:i/>
          <w:iCs/>
          <w:color w:val="212121"/>
        </w:rPr>
        <w:t xml:space="preserve">impacts politiques et économiques </w:t>
      </w:r>
      <w:r w:rsidRPr="00F63DF5">
        <w:rPr>
          <w:i/>
          <w:iCs/>
          <w:color w:val="212121"/>
        </w:rPr>
        <w:t xml:space="preserve">de ce type de projets sur l’espace local, et de leurs </w:t>
      </w:r>
      <w:r w:rsidRPr="00F63DF5">
        <w:rPr>
          <w:b/>
          <w:bCs/>
          <w:i/>
          <w:iCs/>
          <w:color w:val="212121"/>
        </w:rPr>
        <w:t xml:space="preserve">capacités à répondre aux attentes de justice sociale. </w:t>
      </w:r>
    </w:p>
    <w:p w:rsidR="00F63DF5" w:rsidRPr="00F63DF5" w:rsidRDefault="00F63DF5" w:rsidP="00F63DF5">
      <w:pPr>
        <w:pStyle w:val="Default"/>
        <w:spacing w:line="360" w:lineRule="auto"/>
        <w:jc w:val="both"/>
        <w:rPr>
          <w:sz w:val="23"/>
          <w:szCs w:val="23"/>
        </w:rPr>
      </w:pPr>
    </w:p>
    <w:p w:rsidR="00F63DF5" w:rsidRPr="00F63DF5" w:rsidRDefault="00F63DF5" w:rsidP="00F63DF5">
      <w:pPr>
        <w:pStyle w:val="Default"/>
        <w:spacing w:line="360" w:lineRule="auto"/>
        <w:jc w:val="both"/>
        <w:rPr>
          <w:sz w:val="28"/>
          <w:szCs w:val="28"/>
        </w:rPr>
      </w:pPr>
      <w:r w:rsidRPr="00F63DF5">
        <w:rPr>
          <w:b/>
          <w:bCs/>
          <w:sz w:val="28"/>
          <w:szCs w:val="28"/>
        </w:rPr>
        <w:t xml:space="preserve">MOTS CLÉS </w:t>
      </w:r>
    </w:p>
    <w:p w:rsidR="00F63DF5" w:rsidRPr="00F63DF5" w:rsidRDefault="00F63DF5" w:rsidP="00F63DF5">
      <w:pPr>
        <w:spacing w:line="360" w:lineRule="auto"/>
        <w:jc w:val="both"/>
        <w:rPr>
          <w:rFonts w:ascii="Times New Roman" w:hAnsi="Times New Roman" w:cs="Times New Roman"/>
          <w:sz w:val="24"/>
          <w:szCs w:val="24"/>
        </w:rPr>
      </w:pPr>
      <w:r w:rsidRPr="00F63DF5">
        <w:rPr>
          <w:rFonts w:ascii="Times New Roman" w:hAnsi="Times New Roman" w:cs="Times New Roman"/>
          <w:sz w:val="24"/>
          <w:szCs w:val="24"/>
        </w:rPr>
        <w:t>Local, valorisation, ressource, développement, sud de la Méditerranée</w:t>
      </w:r>
    </w:p>
    <w:sectPr w:rsidR="00F63DF5" w:rsidRPr="00F63DF5">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E7D60"/>
    <w:multiLevelType w:val="hybridMultilevel"/>
    <w:tmpl w:val="5E213F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84"/>
    <w:rsid w:val="00586165"/>
    <w:rsid w:val="0064571F"/>
    <w:rsid w:val="00695D84"/>
    <w:rsid w:val="007855D4"/>
    <w:rsid w:val="00851E64"/>
    <w:rsid w:val="00860FA2"/>
    <w:rsid w:val="00A06C2C"/>
    <w:rsid w:val="00AC7762"/>
    <w:rsid w:val="00CE6C7D"/>
    <w:rsid w:val="00F23F31"/>
    <w:rsid w:val="00F411C5"/>
    <w:rsid w:val="00F63DF5"/>
    <w:rsid w:val="00F91D6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61993-72D3-4C33-BD1D-E4D8E5C0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39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C7239D"/>
    <w:pPr>
      <w:ind w:left="720"/>
      <w:contextualSpacing/>
    </w:pPr>
  </w:style>
  <w:style w:type="table" w:styleId="Grilledutableau">
    <w:name w:val="Table Grid"/>
    <w:basedOn w:val="TableauNormal"/>
    <w:uiPriority w:val="39"/>
    <w:rsid w:val="0078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11C5"/>
    <w:rPr>
      <w:color w:val="0563C1" w:themeColor="hyperlink"/>
      <w:u w:val="single"/>
    </w:rPr>
  </w:style>
  <w:style w:type="character" w:customStyle="1" w:styleId="UnresolvedMention">
    <w:name w:val="Unresolved Mention"/>
    <w:basedOn w:val="Policepardfaut"/>
    <w:uiPriority w:val="99"/>
    <w:semiHidden/>
    <w:unhideWhenUsed/>
    <w:rsid w:val="00F411C5"/>
    <w:rPr>
      <w:color w:val="605E5C"/>
      <w:shd w:val="clear" w:color="auto" w:fill="E1DFDD"/>
    </w:rPr>
  </w:style>
  <w:style w:type="character" w:styleId="Lienhypertextesuivivisit">
    <w:name w:val="FollowedHyperlink"/>
    <w:basedOn w:val="Policepardfaut"/>
    <w:uiPriority w:val="99"/>
    <w:semiHidden/>
    <w:unhideWhenUsed/>
    <w:rsid w:val="0064571F"/>
    <w:rPr>
      <w:color w:val="954F72" w:themeColor="followedHyperlink"/>
      <w:u w:val="single"/>
    </w:rPr>
  </w:style>
  <w:style w:type="paragraph" w:customStyle="1" w:styleId="Default">
    <w:name w:val="Default"/>
    <w:rsid w:val="00F63DF5"/>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miano.defacci@gmail.com" TargetMode="External"/><Relationship Id="rId5" Type="http://schemas.openxmlformats.org/officeDocument/2006/relationships/hyperlink" Target="https://www.igu-marginality.info/?fbclid=IwAR3qXTImbE8sd__MrQcY4UufR6Qe1O11M4kvSIwS_LWXlmoFrcg-apmIxf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4793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irène Carpentier</dc:creator>
  <dc:description/>
  <cp:lastModifiedBy>benedicte.macgregor</cp:lastModifiedBy>
  <cp:revision>2</cp:revision>
  <dcterms:created xsi:type="dcterms:W3CDTF">2022-05-30T09:50:00Z</dcterms:created>
  <dcterms:modified xsi:type="dcterms:W3CDTF">2022-05-30T09:50:00Z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