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6120" w14:textId="77777777" w:rsidR="000241D5" w:rsidRPr="000241D5" w:rsidRDefault="000241D5" w:rsidP="000241D5">
      <w:pPr>
        <w:rPr>
          <w:rFonts w:ascii="Times" w:hAnsi="Times" w:cs="Times New Roman"/>
          <w:b/>
          <w:bCs/>
        </w:rPr>
      </w:pPr>
      <w:r w:rsidRPr="000241D5">
        <w:rPr>
          <w:rFonts w:ascii="Times" w:hAnsi="Times" w:cs="Times New Roman"/>
          <w:b/>
          <w:bCs/>
          <w:noProof/>
        </w:rPr>
        <w:drawing>
          <wp:anchor distT="0" distB="0" distL="114300" distR="114300" simplePos="0" relativeHeight="251658240" behindDoc="0" locked="0" layoutInCell="1" allowOverlap="0" wp14:anchorId="4AC802B0" wp14:editId="761C02C2">
            <wp:simplePos x="0" y="0"/>
            <wp:positionH relativeFrom="margin">
              <wp:align>center</wp:align>
            </wp:positionH>
            <wp:positionV relativeFrom="margin">
              <wp:align>top</wp:align>
            </wp:positionV>
            <wp:extent cx="783590" cy="997585"/>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ss4.png"/>
                    <pic:cNvPicPr/>
                  </pic:nvPicPr>
                  <pic:blipFill>
                    <a:blip r:embed="rId5">
                      <a:extLst>
                        <a:ext uri="{28A0092B-C50C-407E-A947-70E740481C1C}">
                          <a14:useLocalDpi xmlns:a14="http://schemas.microsoft.com/office/drawing/2010/main" val="0"/>
                        </a:ext>
                      </a:extLst>
                    </a:blip>
                    <a:stretch>
                      <a:fillRect/>
                    </a:stretch>
                  </pic:blipFill>
                  <pic:spPr>
                    <a:xfrm>
                      <a:off x="0" y="0"/>
                      <a:ext cx="783590" cy="997585"/>
                    </a:xfrm>
                    <a:prstGeom prst="rect">
                      <a:avLst/>
                    </a:prstGeom>
                  </pic:spPr>
                </pic:pic>
              </a:graphicData>
            </a:graphic>
          </wp:anchor>
        </w:drawing>
      </w:r>
    </w:p>
    <w:p w14:paraId="7688BDF9" w14:textId="77777777" w:rsidR="000241D5" w:rsidRPr="000241D5" w:rsidRDefault="000241D5" w:rsidP="000241D5">
      <w:pPr>
        <w:rPr>
          <w:rFonts w:ascii="Times" w:hAnsi="Times" w:cs="Times New Roman"/>
          <w:b/>
          <w:bCs/>
        </w:rPr>
      </w:pPr>
    </w:p>
    <w:p w14:paraId="76ECDFE2" w14:textId="77777777" w:rsidR="000241D5" w:rsidRPr="000241D5" w:rsidRDefault="000241D5" w:rsidP="000241D5">
      <w:pPr>
        <w:rPr>
          <w:rFonts w:ascii="Times" w:hAnsi="Times" w:cs="Times New Roman"/>
          <w:b/>
          <w:bCs/>
        </w:rPr>
      </w:pPr>
    </w:p>
    <w:p w14:paraId="7855C6A0" w14:textId="77777777" w:rsidR="000241D5" w:rsidRPr="000241D5" w:rsidRDefault="000241D5" w:rsidP="000241D5">
      <w:pPr>
        <w:rPr>
          <w:rFonts w:ascii="Times" w:hAnsi="Times" w:cs="Times New Roman"/>
          <w:b/>
          <w:bCs/>
        </w:rPr>
      </w:pPr>
    </w:p>
    <w:p w14:paraId="0DB1ED20" w14:textId="77777777" w:rsidR="000241D5" w:rsidRPr="000241D5" w:rsidRDefault="000241D5" w:rsidP="000241D5">
      <w:pPr>
        <w:rPr>
          <w:rFonts w:ascii="Times" w:hAnsi="Times" w:cs="Times New Roman"/>
          <w:b/>
          <w:bCs/>
        </w:rPr>
      </w:pPr>
    </w:p>
    <w:p w14:paraId="7DE2A7FB" w14:textId="77777777" w:rsidR="000241D5" w:rsidRPr="000241D5" w:rsidRDefault="000241D5" w:rsidP="000241D5">
      <w:pPr>
        <w:rPr>
          <w:rFonts w:ascii="Times" w:hAnsi="Times" w:cs="Times New Roman"/>
          <w:b/>
          <w:bCs/>
        </w:rPr>
      </w:pPr>
    </w:p>
    <w:p w14:paraId="7B5353B2" w14:textId="77777777" w:rsidR="000241D5" w:rsidRPr="000241D5" w:rsidRDefault="000241D5" w:rsidP="000241D5">
      <w:pPr>
        <w:jc w:val="center"/>
        <w:rPr>
          <w:rFonts w:ascii="Times" w:hAnsi="Times" w:cs="Times New Roman"/>
          <w:b/>
          <w:bCs/>
        </w:rPr>
      </w:pPr>
      <w:r w:rsidRPr="000241D5">
        <w:rPr>
          <w:rFonts w:ascii="Times" w:hAnsi="Times" w:cs="Times New Roman"/>
          <w:b/>
          <w:bCs/>
        </w:rPr>
        <w:t>Séminaire de l’axe de recherche 1</w:t>
      </w:r>
    </w:p>
    <w:p w14:paraId="46BEDC42" w14:textId="77777777" w:rsidR="000241D5" w:rsidRPr="000241D5" w:rsidRDefault="000241D5" w:rsidP="000241D5">
      <w:pPr>
        <w:jc w:val="center"/>
        <w:rPr>
          <w:rFonts w:ascii="Times" w:hAnsi="Times" w:cs="Times New Roman"/>
          <w:b/>
          <w:bCs/>
        </w:rPr>
      </w:pPr>
      <w:r w:rsidRPr="000241D5">
        <w:rPr>
          <w:rFonts w:ascii="Times" w:hAnsi="Times" w:cs="Times New Roman"/>
          <w:b/>
          <w:bCs/>
        </w:rPr>
        <w:t>Recompositions socio-spatiales dans la globalisation</w:t>
      </w:r>
    </w:p>
    <w:p w14:paraId="2314AEEA" w14:textId="77777777" w:rsidR="000241D5" w:rsidRPr="000241D5" w:rsidRDefault="000241D5" w:rsidP="000241D5">
      <w:pPr>
        <w:jc w:val="center"/>
        <w:rPr>
          <w:rFonts w:ascii="Times" w:hAnsi="Times" w:cs="Times New Roman"/>
          <w:b/>
          <w:bCs/>
        </w:rPr>
      </w:pPr>
      <w:r w:rsidRPr="000241D5">
        <w:rPr>
          <w:rFonts w:ascii="Times" w:hAnsi="Times" w:cs="Times New Roman"/>
          <w:b/>
          <w:bCs/>
        </w:rPr>
        <w:t>Séance ouverte du 14 mars 2016 – 9h30 à 12h30</w:t>
      </w:r>
    </w:p>
    <w:p w14:paraId="6B86FFCD" w14:textId="77777777" w:rsidR="000241D5" w:rsidRPr="000241D5" w:rsidRDefault="000241D5" w:rsidP="000241D5">
      <w:pPr>
        <w:rPr>
          <w:rFonts w:ascii="Times" w:hAnsi="Times" w:cs="Times New Roman"/>
        </w:rPr>
      </w:pPr>
    </w:p>
    <w:p w14:paraId="35104F8A" w14:textId="77777777" w:rsidR="000241D5" w:rsidRPr="000241D5" w:rsidRDefault="000241D5" w:rsidP="000241D5">
      <w:pPr>
        <w:rPr>
          <w:rFonts w:ascii="Times" w:hAnsi="Times" w:cs="Times New Roman"/>
        </w:rPr>
      </w:pPr>
      <w:r w:rsidRPr="000241D5">
        <w:rPr>
          <w:rFonts w:ascii="Times" w:hAnsi="Times" w:cs="Times New Roman"/>
          <w:b/>
        </w:rPr>
        <w:t>Lieu :</w:t>
      </w:r>
      <w:r w:rsidRPr="000241D5">
        <w:rPr>
          <w:rFonts w:ascii="Times" w:hAnsi="Times" w:cs="Times New Roman"/>
        </w:rPr>
        <w:t xml:space="preserve"> Ladyss, Université Paris 1,</w:t>
      </w:r>
    </w:p>
    <w:p w14:paraId="4DC8228B" w14:textId="77777777" w:rsidR="000241D5" w:rsidRPr="000241D5" w:rsidRDefault="000241D5" w:rsidP="000241D5">
      <w:pPr>
        <w:rPr>
          <w:rFonts w:ascii="Times" w:hAnsi="Times" w:cs="Times New Roman"/>
          <w:sz w:val="20"/>
          <w:szCs w:val="20"/>
        </w:rPr>
      </w:pPr>
      <w:r w:rsidRPr="000241D5">
        <w:rPr>
          <w:rFonts w:ascii="Times" w:hAnsi="Times" w:cs="Times New Roman"/>
        </w:rPr>
        <w:t>2 rue Valette 75005 Paris, salle du 1</w:t>
      </w:r>
      <w:r w:rsidRPr="000241D5">
        <w:rPr>
          <w:rFonts w:ascii="Times" w:hAnsi="Times" w:cs="Times New Roman"/>
          <w:vertAlign w:val="superscript"/>
        </w:rPr>
        <w:t>er</w:t>
      </w:r>
      <w:r w:rsidRPr="000241D5">
        <w:rPr>
          <w:rFonts w:ascii="Times" w:hAnsi="Times" w:cs="Times New Roman"/>
        </w:rPr>
        <w:t xml:space="preserve"> étage</w:t>
      </w:r>
    </w:p>
    <w:p w14:paraId="11E21E4B" w14:textId="77777777" w:rsidR="000241D5" w:rsidRDefault="000241D5" w:rsidP="000241D5">
      <w:pPr>
        <w:rPr>
          <w:rFonts w:ascii="Times" w:hAnsi="Times" w:cs="Times New Roman"/>
          <w:sz w:val="28"/>
          <w:szCs w:val="28"/>
        </w:rPr>
      </w:pPr>
    </w:p>
    <w:p w14:paraId="2AB0D706" w14:textId="77777777" w:rsidR="000241D5" w:rsidRPr="000241D5" w:rsidRDefault="000241D5" w:rsidP="000241D5">
      <w:pPr>
        <w:jc w:val="center"/>
        <w:rPr>
          <w:rFonts w:ascii="Times" w:hAnsi="Times" w:cs="Times New Roman"/>
          <w:b/>
          <w:sz w:val="28"/>
          <w:szCs w:val="28"/>
        </w:rPr>
      </w:pPr>
      <w:r w:rsidRPr="000241D5">
        <w:rPr>
          <w:rFonts w:ascii="Times" w:hAnsi="Times" w:cs="Times New Roman"/>
          <w:b/>
          <w:sz w:val="28"/>
          <w:szCs w:val="28"/>
        </w:rPr>
        <w:t>Intervent</w:t>
      </w:r>
      <w:r>
        <w:rPr>
          <w:rFonts w:ascii="Times" w:hAnsi="Times" w:cs="Times New Roman"/>
          <w:b/>
          <w:sz w:val="28"/>
          <w:szCs w:val="28"/>
        </w:rPr>
        <w:t>ions de Françoise Plet et de Pauline Vilain-C</w:t>
      </w:r>
      <w:r w:rsidRPr="000241D5">
        <w:rPr>
          <w:rFonts w:ascii="Times" w:hAnsi="Times" w:cs="Times New Roman"/>
          <w:b/>
          <w:sz w:val="28"/>
          <w:szCs w:val="28"/>
        </w:rPr>
        <w:t>arlotti</w:t>
      </w:r>
    </w:p>
    <w:p w14:paraId="5D35C85C" w14:textId="77777777" w:rsidR="000241D5" w:rsidRDefault="000241D5" w:rsidP="000241D5">
      <w:pPr>
        <w:rPr>
          <w:rFonts w:ascii="Times" w:hAnsi="Times" w:cs="Times New Roman"/>
          <w:sz w:val="28"/>
          <w:szCs w:val="28"/>
        </w:rPr>
      </w:pPr>
    </w:p>
    <w:p w14:paraId="735460B0" w14:textId="77777777" w:rsidR="000241D5" w:rsidRPr="000241D5" w:rsidRDefault="000241D5" w:rsidP="000241D5">
      <w:pPr>
        <w:rPr>
          <w:rFonts w:ascii="Times" w:hAnsi="Times" w:cs="Times New Roman"/>
        </w:rPr>
      </w:pPr>
      <w:r w:rsidRPr="000241D5">
        <w:rPr>
          <w:rFonts w:ascii="Times" w:hAnsi="Times" w:cs="Times New Roman"/>
        </w:rPr>
        <w:t xml:space="preserve">- </w:t>
      </w:r>
      <w:r w:rsidRPr="000241D5">
        <w:rPr>
          <w:rFonts w:ascii="Times" w:hAnsi="Times" w:cs="Times New Roman"/>
          <w:b/>
          <w:bCs/>
        </w:rPr>
        <w:t xml:space="preserve">Françoise Plet </w:t>
      </w:r>
      <w:r w:rsidRPr="000241D5">
        <w:rPr>
          <w:rFonts w:ascii="Times" w:hAnsi="Times" w:cs="Times New Roman"/>
        </w:rPr>
        <w:t>(Université Paris 8, Ladyss, Professeur émérite) : « Les coopératives agricoles françaises sont-elles encore mutualistes ? »</w:t>
      </w:r>
    </w:p>
    <w:p w14:paraId="070E3607" w14:textId="77777777" w:rsidR="000241D5" w:rsidRPr="000241D5" w:rsidRDefault="000241D5" w:rsidP="000241D5">
      <w:pPr>
        <w:rPr>
          <w:rFonts w:ascii="Times" w:hAnsi="Times" w:cs="Times New Roman"/>
        </w:rPr>
      </w:pPr>
      <w:r w:rsidRPr="000241D5">
        <w:rPr>
          <w:rFonts w:ascii="Times" w:hAnsi="Times" w:cs="Times New Roman"/>
          <w:b/>
          <w:bCs/>
        </w:rPr>
        <w:t>Résumé</w:t>
      </w:r>
      <w:r w:rsidRPr="000241D5">
        <w:rPr>
          <w:rFonts w:ascii="Times" w:hAnsi="Times" w:cs="Times New Roman"/>
        </w:rPr>
        <w:t> : La réponse, à propos d’organisations nées à partir de la fin du XIX</w:t>
      </w:r>
      <w:r w:rsidRPr="000241D5">
        <w:rPr>
          <w:rFonts w:ascii="Times" w:hAnsi="Times" w:cs="Times New Roman"/>
          <w:vertAlign w:val="superscript"/>
        </w:rPr>
        <w:t>e</w:t>
      </w:r>
      <w:r>
        <w:rPr>
          <w:rFonts w:ascii="Times" w:hAnsi="Times" w:cs="Times New Roman"/>
        </w:rPr>
        <w:t xml:space="preserve"> </w:t>
      </w:r>
      <w:r w:rsidRPr="000241D5">
        <w:rPr>
          <w:rFonts w:ascii="Times" w:hAnsi="Times" w:cs="Times New Roman"/>
        </w:rPr>
        <w:t>siècle, peut paraître évidente au vu des évolutions de quelques grands groupes coopératifs de l’agro-alimentaire à partir du troisième quart du XX</w:t>
      </w:r>
      <w:r w:rsidRPr="000241D5">
        <w:rPr>
          <w:rFonts w:ascii="Times" w:hAnsi="Times" w:cs="Times New Roman"/>
          <w:vertAlign w:val="superscript"/>
        </w:rPr>
        <w:t>e</w:t>
      </w:r>
      <w:r>
        <w:rPr>
          <w:rFonts w:ascii="Times" w:hAnsi="Times" w:cs="Times New Roman"/>
        </w:rPr>
        <w:t xml:space="preserve"> siècle. À</w:t>
      </w:r>
      <w:r w:rsidRPr="000241D5">
        <w:rPr>
          <w:rFonts w:ascii="Times" w:hAnsi="Times" w:cs="Times New Roman"/>
        </w:rPr>
        <w:t xml:space="preserve"> cet égard, les connaissances d’économistes et de juristes seraient utiles pour comprendre comment ces entités peuvent continuer de bénéficier du statut coopératif, pourtant en principe très encadré par la loi (société de personnes, parts sociales non rémunérées, droits de vote égalita</w:t>
      </w:r>
      <w:r>
        <w:rPr>
          <w:rFonts w:ascii="Times" w:hAnsi="Times" w:cs="Times New Roman"/>
        </w:rPr>
        <w:t>ires = 1 adhérent</w:t>
      </w:r>
      <w:r w:rsidRPr="000241D5">
        <w:rPr>
          <w:rFonts w:ascii="Times" w:hAnsi="Times" w:cs="Times New Roman"/>
        </w:rPr>
        <w:t>/une voix…), et par le Haut Conseil de la Coopération, tant les rapports d’activité des groupes sont obscurs sur la question.</w:t>
      </w:r>
    </w:p>
    <w:p w14:paraId="473B6835" w14:textId="77777777" w:rsidR="000241D5" w:rsidRPr="000241D5" w:rsidRDefault="000241D5" w:rsidP="000241D5">
      <w:pPr>
        <w:rPr>
          <w:rFonts w:ascii="Times" w:hAnsi="Times" w:cs="Times New Roman"/>
        </w:rPr>
      </w:pPr>
      <w:r>
        <w:rPr>
          <w:rFonts w:ascii="Times" w:hAnsi="Times" w:cs="Times New Roman"/>
        </w:rPr>
        <w:t>À</w:t>
      </w:r>
      <w:r w:rsidRPr="000241D5">
        <w:rPr>
          <w:rFonts w:ascii="Times" w:hAnsi="Times" w:cs="Times New Roman"/>
        </w:rPr>
        <w:t xml:space="preserve"> l’inverse, de nombreuses formes coopératives ou associatives en gestion directe, composées d’un petit nombre d’adhérents participant au travail du groupe, notamment pour la vente directe de produits fermiers, naissent depuis un quart de siècle, et se multiplient depuis les années 2000 et surtout 2008-2010.</w:t>
      </w:r>
    </w:p>
    <w:p w14:paraId="4D19A5E6" w14:textId="77777777" w:rsidR="000241D5" w:rsidRPr="000241D5" w:rsidRDefault="000241D5" w:rsidP="000241D5">
      <w:pPr>
        <w:rPr>
          <w:rFonts w:ascii="Times" w:hAnsi="Times" w:cs="Times New Roman"/>
        </w:rPr>
      </w:pPr>
      <w:r w:rsidRPr="000241D5">
        <w:rPr>
          <w:rFonts w:ascii="Times" w:hAnsi="Times" w:cs="Times New Roman"/>
        </w:rPr>
        <w:t>J’étudierai quelques grands groupes mondialisés, dont Limagrain, que j’avais analysé au début des années 1980.</w:t>
      </w:r>
    </w:p>
    <w:p w14:paraId="6BFE50ED" w14:textId="77777777" w:rsidR="000241D5" w:rsidRPr="000241D5" w:rsidRDefault="000241D5" w:rsidP="000241D5">
      <w:pPr>
        <w:rPr>
          <w:rFonts w:ascii="Times" w:hAnsi="Times" w:cs="Times New Roman"/>
        </w:rPr>
      </w:pPr>
      <w:r w:rsidRPr="000241D5">
        <w:rPr>
          <w:rFonts w:ascii="Times" w:hAnsi="Times" w:cs="Times New Roman"/>
        </w:rPr>
        <w:t>Je mettrai en perspective les évolutions des coopératives agricoles, les crises agricoles et les politiques agricoles françaises et européennes dans la durée, dont le rôle de notables de toute nature, et des pouvoirs publics, permanents sous des formes diverses en matière de coopération et de mutualité agricole.</w:t>
      </w:r>
    </w:p>
    <w:p w14:paraId="16739547" w14:textId="77777777" w:rsidR="000241D5" w:rsidRPr="000241D5" w:rsidRDefault="000241D5" w:rsidP="000241D5">
      <w:pPr>
        <w:rPr>
          <w:rFonts w:ascii="Times" w:hAnsi="Times" w:cs="Times New Roman"/>
        </w:rPr>
      </w:pPr>
      <w:r w:rsidRPr="000241D5">
        <w:rPr>
          <w:rFonts w:ascii="Times" w:hAnsi="Times" w:cs="Times New Roman"/>
        </w:rPr>
        <w:t>Je me bornerai à une analyse empirique, car si j’ai lu les économistes, j’ai du mal à me situer parmi leurs princeps théoriques et les vocabulaires associés, qui varient dans le temps, et selon les auteurs, y compris dans les perspecti</w:t>
      </w:r>
      <w:r>
        <w:rPr>
          <w:rFonts w:ascii="Times" w:hAnsi="Times" w:cs="Times New Roman"/>
        </w:rPr>
        <w:t>ves récentes sur le thème des « communs </w:t>
      </w:r>
      <w:r w:rsidRPr="000241D5">
        <w:rPr>
          <w:rFonts w:ascii="Times" w:hAnsi="Times" w:cs="Times New Roman"/>
        </w:rPr>
        <w:t>» qui ont été examinées dans une séance précédente du séminaire.</w:t>
      </w:r>
    </w:p>
    <w:p w14:paraId="6B327DF6" w14:textId="77777777" w:rsidR="000241D5" w:rsidRDefault="000241D5" w:rsidP="000241D5">
      <w:pPr>
        <w:rPr>
          <w:rFonts w:ascii="Times" w:hAnsi="Times" w:cs="Times New Roman"/>
        </w:rPr>
      </w:pPr>
      <w:r w:rsidRPr="000241D5">
        <w:rPr>
          <w:rFonts w:ascii="Times" w:hAnsi="Times" w:cs="Times New Roman"/>
          <w:b/>
        </w:rPr>
        <w:t>Sources :</w:t>
      </w:r>
    </w:p>
    <w:p w14:paraId="0B1736EA" w14:textId="77777777" w:rsidR="000241D5" w:rsidRPr="000241D5" w:rsidRDefault="000241D5" w:rsidP="000241D5">
      <w:pPr>
        <w:rPr>
          <w:rFonts w:ascii="Times" w:hAnsi="Times" w:cs="Times New Roman"/>
        </w:rPr>
      </w:pPr>
      <w:r>
        <w:rPr>
          <w:rFonts w:ascii="Times" w:hAnsi="Times" w:cs="Times New Roman"/>
        </w:rPr>
        <w:t>R</w:t>
      </w:r>
      <w:r w:rsidRPr="000241D5">
        <w:rPr>
          <w:rFonts w:ascii="Times" w:hAnsi="Times" w:cs="Times New Roman"/>
        </w:rPr>
        <w:t>apports d’activité, communiqués des entreprises, articles de presse et d’organisations, enquêtes directes anciennes (Limagrain, liquidation de la COPAL en Saône-et-Loire)</w:t>
      </w:r>
    </w:p>
    <w:p w14:paraId="14A25BE5" w14:textId="77777777" w:rsidR="000241D5" w:rsidRPr="000241D5" w:rsidRDefault="000241D5" w:rsidP="000241D5">
      <w:pPr>
        <w:rPr>
          <w:rFonts w:ascii="Times" w:hAnsi="Times" w:cs="Times New Roman"/>
        </w:rPr>
      </w:pPr>
      <w:r w:rsidRPr="000241D5">
        <w:rPr>
          <w:rFonts w:ascii="Times" w:hAnsi="Times" w:cs="Times New Roman"/>
          <w:b/>
          <w:bCs/>
        </w:rPr>
        <w:t>Quelques références :</w:t>
      </w:r>
    </w:p>
    <w:p w14:paraId="33AC0C1A" w14:textId="77777777" w:rsidR="000241D5" w:rsidRPr="000241D5" w:rsidRDefault="000241D5" w:rsidP="000241D5">
      <w:pPr>
        <w:rPr>
          <w:rFonts w:ascii="Times" w:hAnsi="Times" w:cs="Times New Roman"/>
        </w:rPr>
      </w:pPr>
      <w:r>
        <w:rPr>
          <w:rFonts w:ascii="Times" w:hAnsi="Times" w:cs="Times New Roman"/>
        </w:rPr>
        <w:t>- Allaire Gilles, Boyer Robert (Eds) 1995.</w:t>
      </w:r>
      <w:r w:rsidRPr="000241D5">
        <w:rPr>
          <w:rFonts w:ascii="Times" w:hAnsi="Times" w:cs="Times New Roman"/>
        </w:rPr>
        <w:t xml:space="preserve"> </w:t>
      </w:r>
      <w:r w:rsidRPr="000241D5">
        <w:rPr>
          <w:rFonts w:ascii="Times" w:hAnsi="Times" w:cs="Times New Roman"/>
          <w:i/>
        </w:rPr>
        <w:t>La grande transformation de l’agriculture</w:t>
      </w:r>
      <w:r w:rsidRPr="000241D5">
        <w:rPr>
          <w:rFonts w:ascii="Times" w:hAnsi="Times" w:cs="Times New Roman"/>
        </w:rPr>
        <w:t>, INRA-Economica, Paris, 442 p.</w:t>
      </w:r>
    </w:p>
    <w:p w14:paraId="6A5905DA" w14:textId="77777777" w:rsidR="000241D5" w:rsidRPr="000241D5" w:rsidRDefault="000241D5" w:rsidP="000241D5">
      <w:pPr>
        <w:rPr>
          <w:rFonts w:ascii="Times" w:hAnsi="Times" w:cs="Times New Roman"/>
        </w:rPr>
      </w:pPr>
      <w:r>
        <w:rPr>
          <w:rFonts w:ascii="Times" w:hAnsi="Times" w:cs="Times New Roman"/>
        </w:rPr>
        <w:t>- Auriac Franck, 1983.</w:t>
      </w:r>
      <w:r w:rsidRPr="000241D5">
        <w:rPr>
          <w:rFonts w:ascii="Times" w:hAnsi="Times" w:cs="Times New Roman"/>
        </w:rPr>
        <w:t xml:space="preserve"> </w:t>
      </w:r>
      <w:r w:rsidRPr="000241D5">
        <w:rPr>
          <w:rFonts w:ascii="Times" w:hAnsi="Times" w:cs="Times New Roman"/>
          <w:i/>
        </w:rPr>
        <w:t>Systèmes économiques et espace</w:t>
      </w:r>
      <w:r w:rsidRPr="000241D5">
        <w:rPr>
          <w:rFonts w:ascii="Times" w:hAnsi="Times" w:cs="Times New Roman"/>
        </w:rPr>
        <w:t>, Economica, Paris</w:t>
      </w:r>
      <w:r>
        <w:rPr>
          <w:rFonts w:ascii="Times" w:hAnsi="Times" w:cs="Times New Roman"/>
        </w:rPr>
        <w:t>.</w:t>
      </w:r>
    </w:p>
    <w:p w14:paraId="7442762D" w14:textId="77777777" w:rsidR="000241D5" w:rsidRPr="000241D5" w:rsidRDefault="000241D5" w:rsidP="000241D5">
      <w:pPr>
        <w:rPr>
          <w:rFonts w:ascii="Times" w:hAnsi="Times" w:cs="Times New Roman"/>
        </w:rPr>
      </w:pPr>
      <w:r>
        <w:rPr>
          <w:rFonts w:ascii="Times" w:hAnsi="Times" w:cs="Times New Roman"/>
        </w:rPr>
        <w:t>- Barral Pierre, 1968.</w:t>
      </w:r>
      <w:r w:rsidRPr="000241D5">
        <w:rPr>
          <w:rFonts w:ascii="Times" w:hAnsi="Times" w:cs="Times New Roman"/>
        </w:rPr>
        <w:t xml:space="preserve"> </w:t>
      </w:r>
      <w:r w:rsidRPr="000241D5">
        <w:rPr>
          <w:rFonts w:ascii="Times" w:hAnsi="Times" w:cs="Times New Roman"/>
          <w:i/>
        </w:rPr>
        <w:t>Les agrariens français de Méline à Pisani</w:t>
      </w:r>
      <w:r>
        <w:rPr>
          <w:rFonts w:ascii="Times" w:hAnsi="Times" w:cs="Times New Roman"/>
        </w:rPr>
        <w:t>, Cahiers de la FNSP 164, 385 </w:t>
      </w:r>
      <w:r w:rsidRPr="000241D5">
        <w:rPr>
          <w:rFonts w:ascii="Times" w:hAnsi="Times" w:cs="Times New Roman"/>
        </w:rPr>
        <w:t>p.</w:t>
      </w:r>
    </w:p>
    <w:p w14:paraId="34BC9176" w14:textId="77777777" w:rsidR="000241D5" w:rsidRPr="000241D5" w:rsidRDefault="000241D5" w:rsidP="000241D5">
      <w:pPr>
        <w:rPr>
          <w:rFonts w:ascii="Times" w:hAnsi="Times" w:cs="Times New Roman"/>
        </w:rPr>
      </w:pPr>
      <w:r w:rsidRPr="000241D5">
        <w:rPr>
          <w:rFonts w:ascii="Times" w:hAnsi="Times" w:cs="Times New Roman"/>
        </w:rPr>
        <w:t>- Koulyt</w:t>
      </w:r>
      <w:r>
        <w:rPr>
          <w:rFonts w:ascii="Times" w:hAnsi="Times" w:cs="Times New Roman"/>
        </w:rPr>
        <w:t>chizky Serge, Mauget René, 2003.</w:t>
      </w:r>
      <w:r w:rsidRPr="000241D5">
        <w:rPr>
          <w:rFonts w:ascii="Times" w:hAnsi="Times" w:cs="Times New Roman"/>
        </w:rPr>
        <w:t xml:space="preserve"> « Le développement des groupes coopératifs agricoles depuis un demi-siècle : à la recherche d’un nouveau paradigme », </w:t>
      </w:r>
      <w:r w:rsidRPr="000241D5">
        <w:rPr>
          <w:rFonts w:ascii="Times" w:hAnsi="Times" w:cs="Times New Roman"/>
          <w:i/>
        </w:rPr>
        <w:t xml:space="preserve">Revue </w:t>
      </w:r>
      <w:r w:rsidRPr="000241D5">
        <w:rPr>
          <w:rFonts w:ascii="Times" w:hAnsi="Times" w:cs="Times New Roman"/>
          <w:i/>
        </w:rPr>
        <w:lastRenderedPageBreak/>
        <w:t>internationale de l'économie sociale : Recma</w:t>
      </w:r>
      <w:r>
        <w:rPr>
          <w:rFonts w:ascii="Times" w:hAnsi="Times" w:cs="Times New Roman"/>
        </w:rPr>
        <w:t xml:space="preserve">, n° 287, p. 14-40, </w:t>
      </w:r>
      <w:hyperlink r:id="rId6" w:history="1">
        <w:r w:rsidRPr="000241D5">
          <w:rPr>
            <w:rFonts w:ascii="Times" w:hAnsi="Times" w:cs="Times New Roman"/>
            <w:color w:val="0000FF"/>
            <w:u w:val="single"/>
          </w:rPr>
          <w:t>http://id.erudit.org/iderudit/1022208ar</w:t>
        </w:r>
      </w:hyperlink>
    </w:p>
    <w:p w14:paraId="4125321C" w14:textId="77777777" w:rsidR="000241D5" w:rsidRPr="000241D5" w:rsidRDefault="000241D5" w:rsidP="000241D5">
      <w:pPr>
        <w:rPr>
          <w:rFonts w:ascii="Times" w:hAnsi="Times" w:cs="Times New Roman"/>
        </w:rPr>
      </w:pPr>
      <w:r w:rsidRPr="000241D5">
        <w:rPr>
          <w:rFonts w:ascii="Times" w:hAnsi="Times" w:cs="Times New Roman"/>
        </w:rPr>
        <w:t>- Mathieu N</w:t>
      </w:r>
      <w:r>
        <w:rPr>
          <w:rFonts w:ascii="Times" w:hAnsi="Times" w:cs="Times New Roman"/>
        </w:rPr>
        <w:t>icole, 1979 - 1980.</w:t>
      </w:r>
      <w:r w:rsidRPr="000241D5">
        <w:rPr>
          <w:rFonts w:ascii="Times" w:hAnsi="Times" w:cs="Times New Roman"/>
        </w:rPr>
        <w:t xml:space="preserve"> « Coop</w:t>
      </w:r>
      <w:r>
        <w:rPr>
          <w:rFonts w:ascii="Times" w:hAnsi="Times" w:cs="Times New Roman"/>
        </w:rPr>
        <w:t>ération et affaire de cochons»,</w:t>
      </w:r>
      <w:r w:rsidRPr="000241D5">
        <w:rPr>
          <w:rFonts w:ascii="Times" w:hAnsi="Times" w:cs="Times New Roman"/>
        </w:rPr>
        <w:t xml:space="preserve"> </w:t>
      </w:r>
      <w:r w:rsidRPr="000241D5">
        <w:rPr>
          <w:rFonts w:ascii="Times" w:hAnsi="Times" w:cs="Times New Roman"/>
          <w:i/>
        </w:rPr>
        <w:t>Nouvelles campagnes</w:t>
      </w:r>
      <w:r w:rsidRPr="000241D5">
        <w:rPr>
          <w:rFonts w:ascii="Times" w:hAnsi="Times" w:cs="Times New Roman"/>
        </w:rPr>
        <w:t>, avril mai 1979, n°4, pp. 3-8, et février 1980, pp. 24-31.</w:t>
      </w:r>
    </w:p>
    <w:p w14:paraId="4B0038A2" w14:textId="77777777" w:rsidR="000241D5" w:rsidRPr="000241D5" w:rsidRDefault="000241D5" w:rsidP="000241D5">
      <w:pPr>
        <w:rPr>
          <w:rFonts w:ascii="Times" w:hAnsi="Times" w:cs="Times New Roman"/>
        </w:rPr>
      </w:pPr>
      <w:r w:rsidRPr="000241D5">
        <w:rPr>
          <w:rFonts w:ascii="Times" w:hAnsi="Times" w:cs="Times New Roman"/>
        </w:rPr>
        <w:t>- Nicolas Philippe, diverses publications entre 1969 et 1995 sur l’histoire économique des coopératives.</w:t>
      </w:r>
    </w:p>
    <w:p w14:paraId="62897E3C" w14:textId="77777777" w:rsidR="000241D5" w:rsidRPr="000241D5" w:rsidRDefault="000241D5" w:rsidP="000241D5">
      <w:pPr>
        <w:rPr>
          <w:rFonts w:ascii="Times" w:hAnsi="Times" w:cs="Times New Roman"/>
        </w:rPr>
      </w:pPr>
      <w:r w:rsidRPr="000241D5">
        <w:rPr>
          <w:rFonts w:ascii="Times" w:hAnsi="Times" w:cs="Times New Roman"/>
        </w:rPr>
        <w:t>- Peyon Je</w:t>
      </w:r>
      <w:r>
        <w:rPr>
          <w:rFonts w:ascii="Times" w:hAnsi="Times" w:cs="Times New Roman"/>
        </w:rPr>
        <w:t>an-Pierre, 1982.</w:t>
      </w:r>
      <w:r w:rsidRPr="000241D5">
        <w:rPr>
          <w:rFonts w:ascii="Times" w:hAnsi="Times" w:cs="Times New Roman"/>
        </w:rPr>
        <w:t xml:space="preserve"> </w:t>
      </w:r>
      <w:r w:rsidRPr="000241D5">
        <w:rPr>
          <w:rFonts w:ascii="Times" w:hAnsi="Times" w:cs="Times New Roman"/>
          <w:i/>
        </w:rPr>
        <w:t>La coopération agricole en France : étude géographique des grands organismes coopératifs</w:t>
      </w:r>
      <w:r>
        <w:rPr>
          <w:rFonts w:ascii="Times" w:hAnsi="Times" w:cs="Times New Roman"/>
        </w:rPr>
        <w:t>, thèse de doctorat d’É</w:t>
      </w:r>
      <w:r w:rsidRPr="000241D5">
        <w:rPr>
          <w:rFonts w:ascii="Times" w:hAnsi="Times" w:cs="Times New Roman"/>
        </w:rPr>
        <w:t>tat, Université de Paris 1, 936 p.</w:t>
      </w:r>
    </w:p>
    <w:p w14:paraId="4FBCA667" w14:textId="77777777" w:rsidR="000241D5" w:rsidRPr="000241D5" w:rsidRDefault="000241D5" w:rsidP="000241D5">
      <w:pPr>
        <w:rPr>
          <w:rFonts w:ascii="Times" w:hAnsi="Times" w:cs="Times New Roman"/>
        </w:rPr>
      </w:pPr>
      <w:r>
        <w:rPr>
          <w:rFonts w:ascii="Times" w:hAnsi="Times" w:cs="Times New Roman"/>
        </w:rPr>
        <w:t>- Plet Françoise, 1983.  « </w:t>
      </w:r>
      <w:r w:rsidRPr="000241D5">
        <w:rPr>
          <w:rFonts w:ascii="Times" w:hAnsi="Times" w:cs="Times New Roman"/>
        </w:rPr>
        <w:t>Coopération, productions contractuelles et transformations de l'espa</w:t>
      </w:r>
      <w:r>
        <w:rPr>
          <w:rFonts w:ascii="Times" w:hAnsi="Times" w:cs="Times New Roman"/>
        </w:rPr>
        <w:t xml:space="preserve">ce agricole en Limagne », </w:t>
      </w:r>
      <w:r w:rsidRPr="000241D5">
        <w:rPr>
          <w:rFonts w:ascii="Times" w:hAnsi="Times" w:cs="Times New Roman"/>
          <w:i/>
        </w:rPr>
        <w:t>L’information Géographique</w:t>
      </w:r>
      <w:r>
        <w:rPr>
          <w:rFonts w:ascii="Times" w:hAnsi="Times" w:cs="Times New Roman"/>
        </w:rPr>
        <w:t>,</w:t>
      </w:r>
      <w:r w:rsidRPr="000241D5">
        <w:rPr>
          <w:rFonts w:ascii="Times" w:hAnsi="Times" w:cs="Times New Roman"/>
        </w:rPr>
        <w:t xml:space="preserve"> n° 1 pp.</w:t>
      </w:r>
      <w:r>
        <w:rPr>
          <w:rFonts w:ascii="Times" w:hAnsi="Times" w:cs="Times New Roman"/>
        </w:rPr>
        <w:t xml:space="preserve"> </w:t>
      </w:r>
      <w:r w:rsidRPr="000241D5">
        <w:rPr>
          <w:rFonts w:ascii="Times" w:hAnsi="Times" w:cs="Times New Roman"/>
        </w:rPr>
        <w:t>12-22.</w:t>
      </w:r>
    </w:p>
    <w:p w14:paraId="134898C2" w14:textId="77777777" w:rsidR="000241D5" w:rsidRPr="000241D5" w:rsidRDefault="000241D5" w:rsidP="000241D5">
      <w:pPr>
        <w:rPr>
          <w:rFonts w:ascii="Times" w:hAnsi="Times" w:cs="Times New Roman"/>
        </w:rPr>
      </w:pPr>
    </w:p>
    <w:p w14:paraId="63190E0F" w14:textId="77777777" w:rsidR="000241D5" w:rsidRPr="000241D5" w:rsidRDefault="000241D5" w:rsidP="000241D5">
      <w:pPr>
        <w:rPr>
          <w:rFonts w:ascii="Times" w:hAnsi="Times" w:cs="Times New Roman"/>
        </w:rPr>
      </w:pPr>
    </w:p>
    <w:p w14:paraId="533D4F82" w14:textId="77777777" w:rsidR="000241D5" w:rsidRPr="000241D5" w:rsidRDefault="000241D5" w:rsidP="000241D5">
      <w:pPr>
        <w:rPr>
          <w:rFonts w:ascii="Times" w:hAnsi="Times" w:cs="Times New Roman"/>
        </w:rPr>
      </w:pPr>
      <w:r w:rsidRPr="000241D5">
        <w:rPr>
          <w:rFonts w:ascii="Times" w:hAnsi="Times" w:cs="Times New Roman"/>
        </w:rPr>
        <w:t xml:space="preserve">- </w:t>
      </w:r>
      <w:r w:rsidRPr="000241D5">
        <w:rPr>
          <w:rFonts w:ascii="Times" w:hAnsi="Times" w:cs="Times New Roman"/>
          <w:b/>
          <w:bCs/>
        </w:rPr>
        <w:t>Pauline Vilain-Carlotti</w:t>
      </w:r>
      <w:r>
        <w:rPr>
          <w:rFonts w:ascii="Times" w:hAnsi="Times" w:cs="Times New Roman"/>
        </w:rPr>
        <w:t xml:space="preserve"> </w:t>
      </w:r>
      <w:r w:rsidRPr="000241D5">
        <w:rPr>
          <w:rFonts w:ascii="Times" w:hAnsi="Times" w:cs="Times New Roman"/>
        </w:rPr>
        <w:t>(</w:t>
      </w:r>
      <w:r>
        <w:rPr>
          <w:rFonts w:ascii="Times" w:hAnsi="Times" w:cs="Times New Roman"/>
        </w:rPr>
        <w:t xml:space="preserve">Ladyss, </w:t>
      </w:r>
      <w:r w:rsidRPr="000241D5">
        <w:rPr>
          <w:rFonts w:ascii="Times" w:hAnsi="Times" w:cs="Times New Roman"/>
        </w:rPr>
        <w:t xml:space="preserve">docteure </w:t>
      </w:r>
      <w:r>
        <w:rPr>
          <w:rFonts w:ascii="Times" w:hAnsi="Times" w:cs="Times New Roman"/>
        </w:rPr>
        <w:t xml:space="preserve">Université </w:t>
      </w:r>
      <w:r w:rsidRPr="000241D5">
        <w:rPr>
          <w:rFonts w:ascii="Times" w:hAnsi="Times" w:cs="Times New Roman"/>
        </w:rPr>
        <w:t>Paris 8)</w:t>
      </w:r>
      <w:r>
        <w:rPr>
          <w:rFonts w:ascii="Times" w:hAnsi="Times" w:cs="Times New Roman"/>
        </w:rPr>
        <w:t> </w:t>
      </w:r>
      <w:r w:rsidRPr="000241D5">
        <w:rPr>
          <w:rFonts w:ascii="Times" w:hAnsi="Times" w:cs="Times New Roman"/>
        </w:rPr>
        <w:t xml:space="preserve">: « Transformations socio-spatiales des </w:t>
      </w:r>
      <w:r w:rsidRPr="000241D5">
        <w:rPr>
          <w:rFonts w:ascii="Times" w:hAnsi="Times" w:cs="Times New Roman"/>
          <w:i/>
          <w:iCs/>
        </w:rPr>
        <w:t>saltus</w:t>
      </w:r>
      <w:r w:rsidRPr="000241D5">
        <w:rPr>
          <w:rFonts w:ascii="Times" w:hAnsi="Times" w:cs="Times New Roman"/>
        </w:rPr>
        <w:t xml:space="preserve"> méditerranéens : de la ressource paysanne à l’empaysagement »</w:t>
      </w:r>
    </w:p>
    <w:p w14:paraId="722003F1" w14:textId="77777777" w:rsidR="000241D5" w:rsidRPr="000241D5" w:rsidRDefault="000241D5" w:rsidP="000241D5">
      <w:pPr>
        <w:rPr>
          <w:rFonts w:ascii="Times" w:hAnsi="Times" w:cs="Times New Roman"/>
        </w:rPr>
      </w:pPr>
      <w:r w:rsidRPr="000241D5">
        <w:rPr>
          <w:rFonts w:ascii="Times" w:hAnsi="Times" w:cs="Times New Roman"/>
        </w:rPr>
        <w:t> </w:t>
      </w:r>
    </w:p>
    <w:p w14:paraId="51442CF6" w14:textId="77777777" w:rsidR="000241D5" w:rsidRPr="000241D5" w:rsidRDefault="000241D5" w:rsidP="000241D5">
      <w:pPr>
        <w:jc w:val="both"/>
        <w:rPr>
          <w:rFonts w:ascii="Times" w:hAnsi="Times" w:cs="Times New Roman"/>
        </w:rPr>
      </w:pPr>
      <w:r w:rsidRPr="000241D5">
        <w:rPr>
          <w:rFonts w:ascii="Times" w:hAnsi="Times" w:cs="Times New Roman"/>
          <w:b/>
          <w:bCs/>
        </w:rPr>
        <w:t>Résumé </w:t>
      </w:r>
      <w:r w:rsidRPr="000241D5">
        <w:rPr>
          <w:rFonts w:ascii="Times" w:hAnsi="Times" w:cs="Times New Roman"/>
        </w:rPr>
        <w:t>: En Corse comme en Sar</w:t>
      </w:r>
      <w:r>
        <w:rPr>
          <w:rFonts w:ascii="Times" w:hAnsi="Times" w:cs="Times New Roman"/>
        </w:rPr>
        <w:t>daigne, le mythe du bandit – mais aussi de l’insoumis </w:t>
      </w:r>
      <w:r w:rsidRPr="000241D5">
        <w:rPr>
          <w:rFonts w:ascii="Times" w:hAnsi="Times" w:cs="Times New Roman"/>
        </w:rPr>
        <w:t xml:space="preserve">– caché dans le maquis a fait date. Le maquis n’est autre que le refuge du pâtre de Virgile, dans une vision idéalisée des </w:t>
      </w:r>
      <w:r w:rsidRPr="000241D5">
        <w:rPr>
          <w:rFonts w:ascii="Times" w:hAnsi="Times" w:cs="Times New Roman"/>
          <w:i/>
          <w:iCs/>
        </w:rPr>
        <w:t>Bucoliques</w:t>
      </w:r>
      <w:r w:rsidRPr="000241D5">
        <w:rPr>
          <w:rFonts w:ascii="Times" w:hAnsi="Times" w:cs="Times New Roman"/>
        </w:rPr>
        <w:t>, et, surtout, l’espace de ressources et de production du berger. Jusqu’au milieu du XX</w:t>
      </w:r>
      <w:r w:rsidRPr="000241D5">
        <w:rPr>
          <w:rFonts w:ascii="Times" w:hAnsi="Times" w:cs="Times New Roman"/>
          <w:vertAlign w:val="superscript"/>
        </w:rPr>
        <w:t>e</w:t>
      </w:r>
      <w:r w:rsidRPr="000241D5">
        <w:rPr>
          <w:rFonts w:ascii="Times" w:hAnsi="Times" w:cs="Times New Roman"/>
        </w:rPr>
        <w:t xml:space="preserve"> siècle, les communautés villageoises, tournées vers l’intérieur exploitent les ressources de la forêt et du maquis. Nombre de structures spatiales portent encore la marque du triptyque </w:t>
      </w:r>
      <w:r w:rsidRPr="000241D5">
        <w:rPr>
          <w:rFonts w:ascii="Times" w:hAnsi="Times" w:cs="Times New Roman"/>
          <w:i/>
          <w:iCs/>
        </w:rPr>
        <w:t>ager-saltus-silva</w:t>
      </w:r>
      <w:r w:rsidRPr="000241D5">
        <w:rPr>
          <w:rFonts w:ascii="Times" w:hAnsi="Times" w:cs="Times New Roman"/>
        </w:rPr>
        <w:t xml:space="preserve">. Le </w:t>
      </w:r>
      <w:r w:rsidRPr="000241D5">
        <w:rPr>
          <w:rFonts w:ascii="Times" w:hAnsi="Times" w:cs="Times New Roman"/>
          <w:i/>
          <w:iCs/>
        </w:rPr>
        <w:t>saltus</w:t>
      </w:r>
      <w:r w:rsidRPr="000241D5">
        <w:rPr>
          <w:rFonts w:ascii="Times" w:hAnsi="Times" w:cs="Times New Roman"/>
        </w:rPr>
        <w:t xml:space="preserve">, où s’épanouit le maquis, marque l’interface entre l’espace habité et le sauvage : la forêt. Anciens terrains de parcours, ce </w:t>
      </w:r>
      <w:r w:rsidRPr="000241D5">
        <w:rPr>
          <w:rFonts w:ascii="Times" w:hAnsi="Times" w:cs="Times New Roman"/>
          <w:i/>
          <w:iCs/>
        </w:rPr>
        <w:t>saltus</w:t>
      </w:r>
      <w:r w:rsidRPr="000241D5">
        <w:rPr>
          <w:rFonts w:ascii="Times" w:hAnsi="Times" w:cs="Times New Roman"/>
        </w:rPr>
        <w:t xml:space="preserve"> tend aujourd’hui à s’emmaquiser pour le </w:t>
      </w:r>
      <w:r>
        <w:rPr>
          <w:rFonts w:ascii="Times" w:hAnsi="Times" w:cs="Times New Roman"/>
        </w:rPr>
        <w:t>plaisir de certains riverains – pérennes ou temporaires </w:t>
      </w:r>
      <w:r w:rsidRPr="000241D5">
        <w:rPr>
          <w:rFonts w:ascii="Times" w:hAnsi="Times" w:cs="Times New Roman"/>
        </w:rPr>
        <w:t>– et malgr</w:t>
      </w:r>
      <w:r>
        <w:rPr>
          <w:rFonts w:ascii="Times" w:hAnsi="Times" w:cs="Times New Roman"/>
        </w:rPr>
        <w:t xml:space="preserve">é les efforts des éleveurs. Ces </w:t>
      </w:r>
      <w:r w:rsidRPr="000241D5">
        <w:rPr>
          <w:rFonts w:ascii="Times" w:hAnsi="Times" w:cs="Times New Roman"/>
        </w:rPr>
        <w:t xml:space="preserve">derniers luttent contre la repousse ligneuse à faible valeur fourragère mais désormais à haute valeur paysagère. Dès lors, le </w:t>
      </w:r>
      <w:r w:rsidRPr="000241D5">
        <w:rPr>
          <w:rFonts w:ascii="Times" w:hAnsi="Times" w:cs="Times New Roman"/>
          <w:i/>
          <w:iCs/>
        </w:rPr>
        <w:t>saltus</w:t>
      </w:r>
      <w:r w:rsidRPr="000241D5">
        <w:rPr>
          <w:rFonts w:ascii="Times" w:hAnsi="Times" w:cs="Times New Roman"/>
        </w:rPr>
        <w:t xml:space="preserve"> devient une interface de conflit, tantôt ressource pastorale, tantôt refuge pour citadins en mal de nature. De la ressource au ressourcement, le </w:t>
      </w:r>
      <w:r w:rsidRPr="000241D5">
        <w:rPr>
          <w:rFonts w:ascii="Times" w:hAnsi="Times" w:cs="Times New Roman"/>
          <w:i/>
        </w:rPr>
        <w:t>saltus</w:t>
      </w:r>
      <w:r w:rsidRPr="000241D5">
        <w:rPr>
          <w:rFonts w:ascii="Times" w:hAnsi="Times" w:cs="Times New Roman"/>
        </w:rPr>
        <w:t xml:space="preserve"> apparaît comme le lieu de tous les enjeux où s’affrontent des représentations et des pratiques contradictoires. Ces espaces constitueraient-ils une réserve foncière, devant servir au développement résidentiel d’une campagne devenue un</w:t>
      </w:r>
      <w:r>
        <w:rPr>
          <w:rFonts w:ascii="Times" w:hAnsi="Times" w:cs="Times New Roman"/>
        </w:rPr>
        <w:t xml:space="preserve"> cadre de vie privilégié </w:t>
      </w:r>
      <w:r w:rsidRPr="000241D5">
        <w:rPr>
          <w:rFonts w:ascii="Times" w:hAnsi="Times" w:cs="Times New Roman"/>
        </w:rPr>
        <w:t xml:space="preserve">? </w:t>
      </w:r>
    </w:p>
    <w:p w14:paraId="3F7DAF4F" w14:textId="77777777" w:rsidR="000241D5" w:rsidRPr="000241D5" w:rsidRDefault="000241D5" w:rsidP="000241D5">
      <w:pPr>
        <w:jc w:val="both"/>
        <w:rPr>
          <w:rFonts w:ascii="Times" w:hAnsi="Times" w:cs="Times New Roman"/>
        </w:rPr>
      </w:pPr>
      <w:r w:rsidRPr="000241D5">
        <w:rPr>
          <w:rFonts w:ascii="Times" w:hAnsi="Times" w:cs="Times New Roman"/>
        </w:rPr>
        <w:t> </w:t>
      </w:r>
    </w:p>
    <w:p w14:paraId="53BB50A6" w14:textId="77777777" w:rsidR="000241D5" w:rsidRPr="000241D5" w:rsidRDefault="000241D5" w:rsidP="000241D5">
      <w:pPr>
        <w:jc w:val="both"/>
        <w:rPr>
          <w:rFonts w:ascii="Times" w:hAnsi="Times" w:cs="Times New Roman"/>
        </w:rPr>
      </w:pPr>
      <w:r w:rsidRPr="000241D5">
        <w:rPr>
          <w:rFonts w:ascii="Times" w:hAnsi="Times" w:cs="Times New Roman"/>
          <w:b/>
          <w:bCs/>
        </w:rPr>
        <w:t>Mots-clés</w:t>
      </w:r>
      <w:r w:rsidRPr="000241D5">
        <w:rPr>
          <w:rFonts w:ascii="Times" w:hAnsi="Times" w:cs="Times New Roman"/>
        </w:rPr>
        <w:t xml:space="preserve"> : Maquis – Saltus – Ressource – Paysage – Élevage </w:t>
      </w:r>
    </w:p>
    <w:p w14:paraId="5411E02C" w14:textId="77777777" w:rsidR="000241D5" w:rsidRPr="000241D5" w:rsidRDefault="000241D5" w:rsidP="000241D5">
      <w:pPr>
        <w:jc w:val="both"/>
        <w:rPr>
          <w:rFonts w:ascii="Times" w:hAnsi="Times" w:cs="Times New Roman"/>
        </w:rPr>
      </w:pPr>
      <w:r w:rsidRPr="000241D5">
        <w:rPr>
          <w:rFonts w:ascii="Times" w:hAnsi="Times" w:cs="Times New Roman"/>
        </w:rPr>
        <w:t> </w:t>
      </w:r>
    </w:p>
    <w:p w14:paraId="4CD1D917" w14:textId="77777777" w:rsidR="000241D5" w:rsidRPr="000241D5" w:rsidRDefault="000241D5" w:rsidP="000241D5">
      <w:pPr>
        <w:outlineLvl w:val="1"/>
        <w:rPr>
          <w:rFonts w:ascii="Times" w:eastAsia="Times New Roman" w:hAnsi="Times" w:cs="Times New Roman"/>
          <w:b/>
          <w:bCs/>
        </w:rPr>
      </w:pPr>
      <w:r w:rsidRPr="000241D5">
        <w:rPr>
          <w:rFonts w:ascii="Times" w:eastAsia="Times New Roman" w:hAnsi="Times" w:cs="Times New Roman"/>
          <w:b/>
          <w:bCs/>
        </w:rPr>
        <w:t>Bibliographie indicative :</w:t>
      </w:r>
    </w:p>
    <w:p w14:paraId="298230C8" w14:textId="77777777" w:rsidR="000241D5" w:rsidRPr="000241D5" w:rsidRDefault="00B37140" w:rsidP="000241D5">
      <w:pPr>
        <w:autoSpaceDE w:val="0"/>
        <w:autoSpaceDN w:val="0"/>
        <w:rPr>
          <w:rFonts w:ascii="Times" w:hAnsi="Times" w:cs="Times New Roman"/>
        </w:rPr>
      </w:pPr>
      <w:r>
        <w:rPr>
          <w:rFonts w:ascii="Times" w:hAnsi="Times" w:cs="Times New Roman"/>
        </w:rPr>
        <w:t>- CASTELLANI Michel, (2003), « Derrière le maquis, les hommes </w:t>
      </w:r>
      <w:r w:rsidR="000241D5" w:rsidRPr="000241D5">
        <w:rPr>
          <w:rFonts w:ascii="Times" w:hAnsi="Times" w:cs="Times New Roman"/>
        </w:rPr>
        <w:t xml:space="preserve">», </w:t>
      </w:r>
      <w:r w:rsidR="000241D5" w:rsidRPr="00DB50A6">
        <w:rPr>
          <w:rFonts w:ascii="Times" w:hAnsi="Times" w:cs="Times New Roman"/>
          <w:i/>
        </w:rPr>
        <w:t>Le maquis corse</w:t>
      </w:r>
      <w:r w:rsidR="000241D5" w:rsidRPr="000241D5">
        <w:rPr>
          <w:rFonts w:ascii="Times" w:hAnsi="Times" w:cs="Times New Roman"/>
        </w:rPr>
        <w:t>, d’après les textes anciens et modernes, recueillis et présentés par LORENZI Laure</w:t>
      </w:r>
      <w:r>
        <w:rPr>
          <w:rFonts w:ascii="Times" w:hAnsi="Times" w:cs="Times New Roman"/>
        </w:rPr>
        <w:t xml:space="preserve">nce, Paris ; Torino ; Budapest, </w:t>
      </w:r>
      <w:r w:rsidR="00DB50A6">
        <w:rPr>
          <w:rFonts w:ascii="Times" w:hAnsi="Times" w:cs="Times New Roman"/>
        </w:rPr>
        <w:t>L’</w:t>
      </w:r>
      <w:r w:rsidR="000241D5" w:rsidRPr="000241D5">
        <w:rPr>
          <w:rFonts w:ascii="Times" w:hAnsi="Times" w:cs="Times New Roman"/>
        </w:rPr>
        <w:t>Harmattan, p. 87</w:t>
      </w:r>
      <w:r w:rsidR="000241D5" w:rsidRPr="000241D5">
        <w:rPr>
          <w:rFonts w:ascii="American Typewriter Light" w:hAnsi="American Typewriter Light" w:cs="American Typewriter Light"/>
        </w:rPr>
        <w:t>‐</w:t>
      </w:r>
      <w:r w:rsidR="000241D5" w:rsidRPr="000241D5">
        <w:rPr>
          <w:rFonts w:ascii="Times" w:hAnsi="Times" w:cs="Times New Roman"/>
        </w:rPr>
        <w:t>92</w:t>
      </w:r>
      <w:r>
        <w:rPr>
          <w:rFonts w:ascii="Times" w:hAnsi="Times" w:cs="Times New Roman"/>
        </w:rPr>
        <w:t>.</w:t>
      </w:r>
    </w:p>
    <w:p w14:paraId="029631F1" w14:textId="77777777" w:rsidR="000241D5" w:rsidRPr="000241D5" w:rsidRDefault="000241D5" w:rsidP="000241D5">
      <w:pPr>
        <w:autoSpaceDE w:val="0"/>
        <w:autoSpaceDN w:val="0"/>
        <w:rPr>
          <w:rFonts w:ascii="Times" w:hAnsi="Times" w:cs="Times New Roman"/>
        </w:rPr>
      </w:pPr>
      <w:r w:rsidRPr="000241D5">
        <w:rPr>
          <w:rFonts w:ascii="Times" w:hAnsi="Times" w:cs="Times New Roman"/>
        </w:rPr>
        <w:t xml:space="preserve">- DERIOZ Pierre, (1993), </w:t>
      </w:r>
      <w:r w:rsidRPr="00B37140">
        <w:rPr>
          <w:rFonts w:ascii="Times" w:hAnsi="Times" w:cs="Times New Roman"/>
          <w:i/>
        </w:rPr>
        <w:t>Friches et terres marginal</w:t>
      </w:r>
      <w:r w:rsidR="00B37140">
        <w:rPr>
          <w:rFonts w:ascii="Times" w:hAnsi="Times" w:cs="Times New Roman"/>
          <w:i/>
        </w:rPr>
        <w:t>es en basse et moyenne montagne </w:t>
      </w:r>
      <w:r w:rsidRPr="00B37140">
        <w:rPr>
          <w:rFonts w:ascii="Times" w:hAnsi="Times" w:cs="Times New Roman"/>
          <w:i/>
        </w:rPr>
        <w:t>: revers sud</w:t>
      </w:r>
      <w:r w:rsidRPr="00B37140">
        <w:rPr>
          <w:rFonts w:ascii="American Typewriter Light" w:hAnsi="American Typewriter Light" w:cs="American Typewriter Light"/>
          <w:i/>
        </w:rPr>
        <w:t>‐</w:t>
      </w:r>
      <w:r w:rsidRPr="00B37140">
        <w:rPr>
          <w:rFonts w:ascii="Times" w:hAnsi="Times" w:cs="Times New Roman"/>
          <w:i/>
        </w:rPr>
        <w:t>oriental du Massif central</w:t>
      </w:r>
      <w:r w:rsidR="00B37140">
        <w:rPr>
          <w:rFonts w:ascii="Times" w:hAnsi="Times" w:cs="Times New Roman"/>
        </w:rPr>
        <w:t>, t</w:t>
      </w:r>
      <w:r w:rsidRPr="000241D5">
        <w:rPr>
          <w:rFonts w:ascii="Times" w:hAnsi="Times" w:cs="Times New Roman"/>
        </w:rPr>
        <w:t>hèse de doctorat, Université d’Avig</w:t>
      </w:r>
      <w:r w:rsidR="00B37140">
        <w:rPr>
          <w:rFonts w:ascii="Times" w:hAnsi="Times" w:cs="Times New Roman"/>
        </w:rPr>
        <w:t>non et des Pays du Vaucluse et É</w:t>
      </w:r>
      <w:r w:rsidRPr="000241D5">
        <w:rPr>
          <w:rFonts w:ascii="Times" w:hAnsi="Times" w:cs="Times New Roman"/>
        </w:rPr>
        <w:t xml:space="preserve">cole </w:t>
      </w:r>
      <w:r w:rsidR="00B37140">
        <w:rPr>
          <w:rFonts w:ascii="Times" w:hAnsi="Times" w:cs="Times New Roman"/>
        </w:rPr>
        <w:t>n</w:t>
      </w:r>
      <w:r w:rsidRPr="000241D5">
        <w:rPr>
          <w:rFonts w:ascii="Times" w:hAnsi="Times" w:cs="Times New Roman"/>
        </w:rPr>
        <w:t xml:space="preserve">ormale </w:t>
      </w:r>
      <w:r w:rsidR="00B37140">
        <w:rPr>
          <w:rFonts w:ascii="Times" w:hAnsi="Times" w:cs="Times New Roman"/>
        </w:rPr>
        <w:t>s</w:t>
      </w:r>
      <w:r w:rsidRPr="000241D5">
        <w:rPr>
          <w:rFonts w:ascii="Times" w:hAnsi="Times" w:cs="Times New Roman"/>
        </w:rPr>
        <w:t>upérieure de Fontenay</w:t>
      </w:r>
      <w:r w:rsidRPr="000241D5">
        <w:rPr>
          <w:rFonts w:ascii="American Typewriter Light" w:hAnsi="American Typewriter Light" w:cs="American Typewriter Light"/>
        </w:rPr>
        <w:t>‐</w:t>
      </w:r>
      <w:r w:rsidRPr="000241D5">
        <w:rPr>
          <w:rFonts w:ascii="Times" w:hAnsi="Times" w:cs="Times New Roman"/>
        </w:rPr>
        <w:t>Saint</w:t>
      </w:r>
      <w:r w:rsidRPr="000241D5">
        <w:rPr>
          <w:rFonts w:ascii="American Typewriter Light" w:hAnsi="American Typewriter Light" w:cs="American Typewriter Light"/>
        </w:rPr>
        <w:t>‐</w:t>
      </w:r>
      <w:r w:rsidRPr="000241D5">
        <w:rPr>
          <w:rFonts w:ascii="Times" w:hAnsi="Times" w:cs="Times New Roman"/>
        </w:rPr>
        <w:t>Cloud, sous la direction de REY V., 532 p.</w:t>
      </w:r>
    </w:p>
    <w:p w14:paraId="57069063" w14:textId="77777777" w:rsidR="000241D5" w:rsidRPr="000241D5" w:rsidRDefault="000241D5" w:rsidP="000241D5">
      <w:pPr>
        <w:autoSpaceDE w:val="0"/>
        <w:autoSpaceDN w:val="0"/>
        <w:rPr>
          <w:rFonts w:ascii="Times" w:hAnsi="Times" w:cs="Times New Roman"/>
        </w:rPr>
      </w:pPr>
      <w:r w:rsidRPr="000241D5">
        <w:rPr>
          <w:rFonts w:ascii="Times" w:hAnsi="Times" w:cs="Times New Roman"/>
        </w:rPr>
        <w:t xml:space="preserve">- LABRUE Claire, (2007), « La forêt, paradigme de la nature en Occident ? », Communication orale, </w:t>
      </w:r>
      <w:r w:rsidRPr="000241D5">
        <w:rPr>
          <w:rFonts w:ascii="Times" w:hAnsi="Times" w:cs="Times New Roman"/>
          <w:i/>
          <w:iCs/>
        </w:rPr>
        <w:t xml:space="preserve">Journée interdisciplinaire </w:t>
      </w:r>
      <w:r w:rsidR="00B37140">
        <w:rPr>
          <w:rFonts w:ascii="Times" w:hAnsi="Times" w:cs="Times New Roman"/>
          <w:i/>
          <w:iCs/>
        </w:rPr>
        <w:t>« </w:t>
      </w:r>
      <w:r w:rsidRPr="000241D5">
        <w:rPr>
          <w:rFonts w:ascii="Times" w:hAnsi="Times" w:cs="Times New Roman"/>
          <w:i/>
          <w:iCs/>
        </w:rPr>
        <w:t>Nature et Culture</w:t>
      </w:r>
      <w:r w:rsidR="00B37140">
        <w:rPr>
          <w:rFonts w:ascii="Times" w:hAnsi="Times" w:cs="Times New Roman"/>
          <w:i/>
          <w:iCs/>
        </w:rPr>
        <w:t> »</w:t>
      </w:r>
      <w:r w:rsidRPr="000241D5">
        <w:rPr>
          <w:rFonts w:ascii="Times" w:hAnsi="Times" w:cs="Times New Roman"/>
        </w:rPr>
        <w:t>, 21 juin 2007, Limoges</w:t>
      </w:r>
      <w:r w:rsidR="00B37140">
        <w:rPr>
          <w:rFonts w:ascii="Times" w:hAnsi="Times" w:cs="Times New Roman"/>
        </w:rPr>
        <w:t>.</w:t>
      </w:r>
    </w:p>
    <w:p w14:paraId="31DE1BC1" w14:textId="77777777" w:rsidR="000241D5" w:rsidRPr="000241D5" w:rsidRDefault="000241D5" w:rsidP="000241D5">
      <w:pPr>
        <w:autoSpaceDE w:val="0"/>
        <w:autoSpaceDN w:val="0"/>
        <w:rPr>
          <w:rFonts w:ascii="Times" w:hAnsi="Times" w:cs="Times New Roman"/>
        </w:rPr>
      </w:pPr>
      <w:r w:rsidRPr="000241D5">
        <w:rPr>
          <w:rFonts w:ascii="Times" w:hAnsi="Times" w:cs="Times New Roman"/>
        </w:rPr>
        <w:t xml:space="preserve">- LUGINBUHL Yves, (1989), « Paysage élitaire et paysages ordinaires », </w:t>
      </w:r>
      <w:r w:rsidRPr="00B37140">
        <w:rPr>
          <w:rFonts w:ascii="Times" w:hAnsi="Times" w:cs="Times New Roman"/>
          <w:i/>
        </w:rPr>
        <w:t>Ethnologie française</w:t>
      </w:r>
      <w:r w:rsidRPr="000241D5">
        <w:rPr>
          <w:rFonts w:ascii="Times" w:hAnsi="Times" w:cs="Times New Roman"/>
        </w:rPr>
        <w:t>, p. 227</w:t>
      </w:r>
      <w:r w:rsidRPr="000241D5">
        <w:rPr>
          <w:rFonts w:ascii="American Typewriter Light" w:hAnsi="American Typewriter Light" w:cs="American Typewriter Light"/>
        </w:rPr>
        <w:t>‐</w:t>
      </w:r>
      <w:r w:rsidRPr="000241D5">
        <w:rPr>
          <w:rFonts w:ascii="Times" w:hAnsi="Times" w:cs="Times New Roman"/>
        </w:rPr>
        <w:t>238</w:t>
      </w:r>
      <w:r w:rsidR="00B37140">
        <w:rPr>
          <w:rFonts w:ascii="Times" w:hAnsi="Times" w:cs="Times New Roman"/>
        </w:rPr>
        <w:t>.</w:t>
      </w:r>
    </w:p>
    <w:p w14:paraId="30DB9A46" w14:textId="77777777" w:rsidR="000241D5" w:rsidRPr="000241D5" w:rsidRDefault="000241D5" w:rsidP="000241D5">
      <w:pPr>
        <w:autoSpaceDE w:val="0"/>
        <w:autoSpaceDN w:val="0"/>
        <w:rPr>
          <w:rFonts w:ascii="Times" w:hAnsi="Times" w:cs="Times New Roman"/>
        </w:rPr>
      </w:pPr>
      <w:r w:rsidRPr="000241D5">
        <w:rPr>
          <w:rFonts w:ascii="Times" w:hAnsi="Times" w:cs="Times New Roman"/>
        </w:rPr>
        <w:t xml:space="preserve">- MORENO Diego et MONTANARI Carlo, (2008), « Il lato “oscuro” del paesaggio : (per) una ecologia storica del paesaggio rurale italiano », </w:t>
      </w:r>
      <w:r w:rsidRPr="000241D5">
        <w:rPr>
          <w:rFonts w:ascii="Times" w:hAnsi="Times" w:cs="Times New Roman"/>
          <w:i/>
          <w:iCs/>
        </w:rPr>
        <w:t xml:space="preserve">in </w:t>
      </w:r>
      <w:r w:rsidRPr="000241D5">
        <w:rPr>
          <w:rFonts w:ascii="Times" w:hAnsi="Times" w:cs="Times New Roman"/>
        </w:rPr>
        <w:t xml:space="preserve">TEOFILI Corrado et CLARINO Rosa (eds), </w:t>
      </w:r>
      <w:r w:rsidRPr="000241D5">
        <w:rPr>
          <w:rFonts w:ascii="Times" w:hAnsi="Times" w:cs="Times New Roman"/>
          <w:i/>
          <w:iCs/>
        </w:rPr>
        <w:t>Riconquistare il paesaggio. La Convenzione Europea del Paesaggio e la Conservazione della</w:t>
      </w:r>
      <w:r w:rsidRPr="000241D5">
        <w:rPr>
          <w:rFonts w:ascii="Times" w:hAnsi="Times" w:cs="Times New Roman"/>
        </w:rPr>
        <w:t xml:space="preserve"> </w:t>
      </w:r>
      <w:r w:rsidRPr="000241D5">
        <w:rPr>
          <w:rFonts w:ascii="Times" w:hAnsi="Times" w:cs="Times New Roman"/>
          <w:i/>
          <w:iCs/>
        </w:rPr>
        <w:t>Biodiversità in Italia, Stilgrafica</w:t>
      </w:r>
      <w:r w:rsidRPr="000241D5">
        <w:rPr>
          <w:rFonts w:ascii="Times" w:hAnsi="Times" w:cs="Times New Roman"/>
        </w:rPr>
        <w:t>, p. 159</w:t>
      </w:r>
      <w:r w:rsidRPr="000241D5">
        <w:rPr>
          <w:rFonts w:ascii="American Typewriter Light" w:hAnsi="American Typewriter Light" w:cs="American Typewriter Light"/>
        </w:rPr>
        <w:t>‐</w:t>
      </w:r>
      <w:r w:rsidRPr="000241D5">
        <w:rPr>
          <w:rFonts w:ascii="Times" w:hAnsi="Times" w:cs="Times New Roman"/>
        </w:rPr>
        <w:t>175</w:t>
      </w:r>
      <w:r w:rsidR="00B37140">
        <w:rPr>
          <w:rFonts w:ascii="Times" w:hAnsi="Times" w:cs="Times New Roman"/>
        </w:rPr>
        <w:t>.</w:t>
      </w:r>
    </w:p>
    <w:p w14:paraId="73BA3D21" w14:textId="77777777" w:rsidR="00E96443" w:rsidRPr="0047059F" w:rsidRDefault="000241D5" w:rsidP="0047059F">
      <w:pPr>
        <w:autoSpaceDE w:val="0"/>
        <w:autoSpaceDN w:val="0"/>
        <w:rPr>
          <w:rFonts w:ascii="Times" w:hAnsi="Times" w:cs="Times New Roman"/>
        </w:rPr>
      </w:pPr>
      <w:r w:rsidRPr="000241D5">
        <w:rPr>
          <w:rFonts w:ascii="Times" w:hAnsi="Times" w:cs="Times New Roman"/>
        </w:rPr>
        <w:t>- PAOLI Jean</w:t>
      </w:r>
      <w:r w:rsidRPr="000241D5">
        <w:rPr>
          <w:rFonts w:ascii="American Typewriter Light" w:hAnsi="American Typewriter Light" w:cs="American Typewriter Light"/>
        </w:rPr>
        <w:t>‐</w:t>
      </w:r>
      <w:r w:rsidRPr="000241D5">
        <w:rPr>
          <w:rFonts w:ascii="Times" w:hAnsi="Times" w:cs="Times New Roman"/>
        </w:rPr>
        <w:t>Christophe et SANTUCCI Pierre</w:t>
      </w:r>
      <w:r w:rsidRPr="000241D5">
        <w:rPr>
          <w:rFonts w:ascii="American Typewriter Light" w:hAnsi="American Typewriter Light" w:cs="American Typewriter Light"/>
        </w:rPr>
        <w:t>‐</w:t>
      </w:r>
      <w:r w:rsidRPr="000241D5">
        <w:rPr>
          <w:rFonts w:ascii="Times" w:hAnsi="Times" w:cs="Times New Roman"/>
        </w:rPr>
        <w:t xml:space="preserve">Mathieu, (2010), « Le problème des parcours méditerranéens au regard du dispositif de prévention des incendies : le cas de la Corse », </w:t>
      </w:r>
      <w:r w:rsidRPr="00B37140">
        <w:rPr>
          <w:rFonts w:ascii="Times" w:hAnsi="Times" w:cs="Times New Roman"/>
          <w:iCs/>
        </w:rPr>
        <w:t>Communication</w:t>
      </w:r>
      <w:r w:rsidRPr="000241D5">
        <w:rPr>
          <w:rFonts w:ascii="Times" w:hAnsi="Times" w:cs="Times New Roman"/>
          <w:i/>
          <w:iCs/>
        </w:rPr>
        <w:t xml:space="preserve"> </w:t>
      </w:r>
      <w:r w:rsidRPr="00B37140">
        <w:rPr>
          <w:rFonts w:ascii="Times" w:hAnsi="Times" w:cs="Times New Roman"/>
          <w:iCs/>
        </w:rPr>
        <w:t>au</w:t>
      </w:r>
      <w:r w:rsidR="00B37140">
        <w:rPr>
          <w:rFonts w:ascii="Times" w:hAnsi="Times" w:cs="Times New Roman"/>
          <w:i/>
          <w:iCs/>
        </w:rPr>
        <w:t xml:space="preserve"> Symposium i</w:t>
      </w:r>
      <w:r w:rsidRPr="000241D5">
        <w:rPr>
          <w:rFonts w:ascii="Times" w:hAnsi="Times" w:cs="Times New Roman"/>
          <w:i/>
          <w:iCs/>
        </w:rPr>
        <w:t>nternational Innovation et développement durable dans</w:t>
      </w:r>
      <w:r w:rsidRPr="000241D5">
        <w:rPr>
          <w:rFonts w:ascii="Times" w:hAnsi="Times" w:cs="Times New Roman"/>
        </w:rPr>
        <w:t xml:space="preserve"> </w:t>
      </w:r>
      <w:r w:rsidRPr="000241D5">
        <w:rPr>
          <w:rFonts w:ascii="Times" w:hAnsi="Times" w:cs="Times New Roman"/>
          <w:i/>
          <w:iCs/>
        </w:rPr>
        <w:t>l’agriculture et l’agroalimentaire</w:t>
      </w:r>
      <w:r w:rsidRPr="000241D5">
        <w:rPr>
          <w:rFonts w:ascii="Times" w:hAnsi="Times" w:cs="Times New Roman"/>
        </w:rPr>
        <w:t xml:space="preserve">, Montpellier, 28 juin </w:t>
      </w:r>
      <w:r w:rsidRPr="000241D5">
        <w:rPr>
          <w:rFonts w:ascii="American Typewriter Light" w:hAnsi="American Typewriter Light" w:cs="American Typewriter Light"/>
        </w:rPr>
        <w:t>‐</w:t>
      </w:r>
      <w:r w:rsidRPr="000241D5">
        <w:rPr>
          <w:rFonts w:ascii="Times" w:hAnsi="Times" w:cs="Times New Roman"/>
        </w:rPr>
        <w:t>1er juillet 2010</w:t>
      </w:r>
      <w:r w:rsidR="00B37140">
        <w:rPr>
          <w:rFonts w:ascii="Times" w:hAnsi="Times" w:cs="Times New Roman"/>
        </w:rPr>
        <w:t>.</w:t>
      </w:r>
      <w:bookmarkStart w:id="0" w:name="_GoBack"/>
      <w:bookmarkEnd w:id="0"/>
    </w:p>
    <w:sectPr w:rsidR="00E96443" w:rsidRPr="0047059F" w:rsidSect="00E964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merican Typewriter Light">
    <w:panose1 w:val="020903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D5"/>
    <w:rsid w:val="000241D5"/>
    <w:rsid w:val="0047059F"/>
    <w:rsid w:val="00B37140"/>
    <w:rsid w:val="00DB50A6"/>
    <w:rsid w:val="00E96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C99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241D5"/>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41D5"/>
    <w:rPr>
      <w:rFonts w:ascii="Times" w:hAnsi="Times"/>
      <w:b/>
      <w:bCs/>
      <w:sz w:val="36"/>
      <w:szCs w:val="36"/>
    </w:rPr>
  </w:style>
  <w:style w:type="character" w:styleId="Lienhypertexte">
    <w:name w:val="Hyperlink"/>
    <w:basedOn w:val="Policepardfaut"/>
    <w:uiPriority w:val="99"/>
    <w:semiHidden/>
    <w:unhideWhenUsed/>
    <w:rsid w:val="000241D5"/>
    <w:rPr>
      <w:color w:val="0000FF"/>
      <w:u w:val="single"/>
    </w:rPr>
  </w:style>
  <w:style w:type="paragraph" w:customStyle="1" w:styleId="default">
    <w:name w:val="default"/>
    <w:basedOn w:val="Normal"/>
    <w:rsid w:val="000241D5"/>
    <w:pPr>
      <w:spacing w:before="100" w:beforeAutospacing="1" w:after="100" w:afterAutospacing="1"/>
    </w:pPr>
    <w:rPr>
      <w:rFonts w:ascii="Times" w:hAnsi="Times"/>
      <w:sz w:val="20"/>
      <w:szCs w:val="20"/>
    </w:rPr>
  </w:style>
  <w:style w:type="paragraph" w:styleId="Textedebulles">
    <w:name w:val="Balloon Text"/>
    <w:basedOn w:val="Normal"/>
    <w:link w:val="TextedebullesCar"/>
    <w:uiPriority w:val="99"/>
    <w:semiHidden/>
    <w:unhideWhenUsed/>
    <w:rsid w:val="000241D5"/>
    <w:rPr>
      <w:rFonts w:ascii="Lucida Grande" w:hAnsi="Lucida Grande"/>
      <w:sz w:val="18"/>
      <w:szCs w:val="18"/>
    </w:rPr>
  </w:style>
  <w:style w:type="character" w:customStyle="1" w:styleId="TextedebullesCar">
    <w:name w:val="Texte de bulles Car"/>
    <w:basedOn w:val="Policepardfaut"/>
    <w:link w:val="Textedebulles"/>
    <w:uiPriority w:val="99"/>
    <w:semiHidden/>
    <w:rsid w:val="000241D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241D5"/>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41D5"/>
    <w:rPr>
      <w:rFonts w:ascii="Times" w:hAnsi="Times"/>
      <w:b/>
      <w:bCs/>
      <w:sz w:val="36"/>
      <w:szCs w:val="36"/>
    </w:rPr>
  </w:style>
  <w:style w:type="character" w:styleId="Lienhypertexte">
    <w:name w:val="Hyperlink"/>
    <w:basedOn w:val="Policepardfaut"/>
    <w:uiPriority w:val="99"/>
    <w:semiHidden/>
    <w:unhideWhenUsed/>
    <w:rsid w:val="000241D5"/>
    <w:rPr>
      <w:color w:val="0000FF"/>
      <w:u w:val="single"/>
    </w:rPr>
  </w:style>
  <w:style w:type="paragraph" w:customStyle="1" w:styleId="default">
    <w:name w:val="default"/>
    <w:basedOn w:val="Normal"/>
    <w:rsid w:val="000241D5"/>
    <w:pPr>
      <w:spacing w:before="100" w:beforeAutospacing="1" w:after="100" w:afterAutospacing="1"/>
    </w:pPr>
    <w:rPr>
      <w:rFonts w:ascii="Times" w:hAnsi="Times"/>
      <w:sz w:val="20"/>
      <w:szCs w:val="20"/>
    </w:rPr>
  </w:style>
  <w:style w:type="paragraph" w:styleId="Textedebulles">
    <w:name w:val="Balloon Text"/>
    <w:basedOn w:val="Normal"/>
    <w:link w:val="TextedebullesCar"/>
    <w:uiPriority w:val="99"/>
    <w:semiHidden/>
    <w:unhideWhenUsed/>
    <w:rsid w:val="000241D5"/>
    <w:rPr>
      <w:rFonts w:ascii="Lucida Grande" w:hAnsi="Lucida Grande"/>
      <w:sz w:val="18"/>
      <w:szCs w:val="18"/>
    </w:rPr>
  </w:style>
  <w:style w:type="character" w:customStyle="1" w:styleId="TextedebullesCar">
    <w:name w:val="Texte de bulles Car"/>
    <w:basedOn w:val="Policepardfaut"/>
    <w:link w:val="Textedebulles"/>
    <w:uiPriority w:val="99"/>
    <w:semiHidden/>
    <w:rsid w:val="000241D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932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id.erudit.org/iderudit/1022208a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1016</Words>
  <Characters>5591</Characters>
  <Application>Microsoft Macintosh Word</Application>
  <DocSecurity>0</DocSecurity>
  <Lines>46</Lines>
  <Paragraphs>13</Paragraphs>
  <ScaleCrop>false</ScaleCrop>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2016-03-09T10:13:00Z</dcterms:created>
  <dcterms:modified xsi:type="dcterms:W3CDTF">2016-03-09T14:59:00Z</dcterms:modified>
</cp:coreProperties>
</file>