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9E82" w14:textId="77777777" w:rsidR="00E96443" w:rsidRPr="00392B29" w:rsidRDefault="00392B29" w:rsidP="00392B29">
      <w:pPr>
        <w:jc w:val="center"/>
        <w:rPr>
          <w:rFonts w:ascii="Palatino" w:hAnsi="Palatino"/>
          <w:b/>
        </w:rPr>
      </w:pPr>
      <w:r w:rsidRPr="00392B29">
        <w:rPr>
          <w:rFonts w:ascii="Palatino" w:hAnsi="Palatino"/>
          <w:b/>
        </w:rPr>
        <w:t>Séminaire de l’Axe de recherche 1 du Ladyss</w:t>
      </w:r>
    </w:p>
    <w:p w14:paraId="4DB7AFC0" w14:textId="77777777" w:rsidR="00392B29" w:rsidRPr="00392B29" w:rsidRDefault="00392B29" w:rsidP="00392B29">
      <w:pPr>
        <w:jc w:val="center"/>
        <w:rPr>
          <w:rFonts w:ascii="Palatino" w:hAnsi="Palatino"/>
          <w:b/>
        </w:rPr>
      </w:pPr>
      <w:r w:rsidRPr="00392B29">
        <w:rPr>
          <w:rFonts w:ascii="Palatino" w:hAnsi="Palatino"/>
          <w:b/>
        </w:rPr>
        <w:t xml:space="preserve">Séance </w:t>
      </w:r>
      <w:r w:rsidRPr="00392B29">
        <w:rPr>
          <w:rFonts w:ascii="Palatino" w:hAnsi="Palatino" w:cs="Times New Roman"/>
          <w:b/>
        </w:rPr>
        <w:t xml:space="preserve">du </w:t>
      </w:r>
      <w:r w:rsidRPr="00392B29">
        <w:rPr>
          <w:rFonts w:ascii="Palatino" w:hAnsi="Palatino" w:cs="Times New Roman"/>
          <w:b/>
          <w:bCs/>
        </w:rPr>
        <w:t>lundi 13 mars 2017</w:t>
      </w:r>
      <w:r w:rsidRPr="00392B29">
        <w:rPr>
          <w:rFonts w:ascii="Palatino" w:hAnsi="Palatino" w:cs="Times New Roman"/>
          <w:b/>
          <w:bCs/>
        </w:rPr>
        <w:t> (10h00 – 13h00)</w:t>
      </w:r>
      <w:r w:rsidRPr="00392B29">
        <w:rPr>
          <w:rFonts w:ascii="Palatino" w:hAnsi="Palatino" w:cs="Times New Roman"/>
          <w:b/>
        </w:rPr>
        <w:t> :</w:t>
      </w:r>
    </w:p>
    <w:p w14:paraId="1ADE4061" w14:textId="77777777" w:rsidR="00392B29" w:rsidRPr="00392B29" w:rsidRDefault="00392B29" w:rsidP="00392B29">
      <w:pPr>
        <w:spacing w:before="100" w:beforeAutospacing="1" w:after="100" w:afterAutospacing="1"/>
        <w:rPr>
          <w:rFonts w:ascii="Palatino" w:hAnsi="Palatino" w:cs="Times New Roman"/>
        </w:rPr>
      </w:pPr>
      <w:r w:rsidRPr="00392B29">
        <w:rPr>
          <w:rFonts w:ascii="Palatino" w:hAnsi="Palatino" w:cs="Times New Roman"/>
          <w:b/>
          <w:bCs/>
        </w:rPr>
        <w:t xml:space="preserve">- Intervention d’Andrée Kartchevsky et </w:t>
      </w:r>
      <w:r w:rsidR="000B371C">
        <w:rPr>
          <w:rFonts w:ascii="Palatino" w:hAnsi="Palatino" w:cs="Times New Roman"/>
          <w:b/>
          <w:bCs/>
        </w:rPr>
        <w:t>d’É</w:t>
      </w:r>
      <w:bookmarkStart w:id="0" w:name="_GoBack"/>
      <w:bookmarkEnd w:id="0"/>
      <w:r w:rsidRPr="00392B29">
        <w:rPr>
          <w:rFonts w:ascii="Palatino" w:hAnsi="Palatino" w:cs="Times New Roman"/>
          <w:b/>
          <w:bCs/>
        </w:rPr>
        <w:t>ric Canobbio</w:t>
      </w:r>
      <w:r w:rsidRPr="00392B29">
        <w:rPr>
          <w:rFonts w:ascii="Palatino" w:hAnsi="Palatino" w:cs="Times New Roman"/>
        </w:rPr>
        <w:t xml:space="preserve"> : </w:t>
      </w:r>
      <w:r w:rsidRPr="00392B29">
        <w:rPr>
          <w:rFonts w:ascii="Palatino" w:hAnsi="Palatino" w:cs="Times New Roman"/>
          <w:b/>
          <w:bCs/>
          <w:i/>
          <w:iCs/>
        </w:rPr>
        <w:t>Normes, Règles, Action Collective : Innover pour mieux Conserver ?</w:t>
      </w:r>
    </w:p>
    <w:p w14:paraId="5B5884BB" w14:textId="77777777" w:rsidR="00392B29" w:rsidRPr="00392B29" w:rsidRDefault="00392B29" w:rsidP="00392B29">
      <w:pPr>
        <w:spacing w:before="100" w:beforeAutospacing="1" w:after="100" w:afterAutospacing="1"/>
        <w:rPr>
          <w:rFonts w:ascii="Palatino" w:hAnsi="Palatino" w:cs="Times New Roman"/>
        </w:rPr>
      </w:pPr>
      <w:r w:rsidRPr="00392B29">
        <w:rPr>
          <w:rFonts w:ascii="Palatino" w:hAnsi="Palatino" w:cs="Times New Roman"/>
          <w:b/>
          <w:bCs/>
        </w:rPr>
        <w:t xml:space="preserve">Résumé : </w:t>
      </w:r>
    </w:p>
    <w:p w14:paraId="6DE8DC50"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 xml:space="preserve">Problématique : envisager les recompositions sociales et spatiales dans un contexte de construction de réponses tant théoriques que pragmatiques. Il s’agit de mettre en évidence des formes d’innovation qui naissent sur des aires non réductibles aux grands ensembles politiques traditionnels et qui préfigurent un changement dans les modes et les niveaux de prise de décision et les périmètres normatifs de construction de projets. </w:t>
      </w:r>
    </w:p>
    <w:p w14:paraId="1958D5DC"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Sur le plan théorique, des concepts tels que norme et règle sont questionnés à l’aune de ce qu’ils peuvent apporter pour appréhender les processus des possibles. Autrement dit, interroger la production d’actions collectives et de nouvelles configurations revendicatives portées par des organisations syndicales, politiques et/ou par des regroupements plus informels de citoyens (Nuit Debout).</w:t>
      </w:r>
    </w:p>
    <w:p w14:paraId="001128E0"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Dans le contexte de la décentralisation/territorialisation des politiques publiques et de sa relation à la démocratie sociale, il s’agit d’analyser à partir des débats syndicaux à la fois doctrinaux et opérationnels, l’émergence de nouvelles démarches revendicatives de projet et leurs capacités d’intégrations à de nouvelles configurations locales (métropoles-macrorégions). La relation de l’échelon régional à l’innovation sociale est explicitement interrogée dans ses formes PRIDES</w:t>
      </w:r>
      <w:r w:rsidRPr="00392B29">
        <w:rPr>
          <w:rFonts w:ascii="Palatino" w:hAnsi="Palatino" w:cs="Times New Roman"/>
        </w:rPr>
        <w:footnoteReference w:customMarkFollows="1" w:id="1"/>
        <w:t>[1] en région PACA, les Conférences Economiques et Sociales régionales en Rhône-Alpes (avant loi de fusion), ou les Plans Locaux de Développement Economiques du Nord-Pas-de-Calais (avant loi de fusion).</w:t>
      </w:r>
    </w:p>
    <w:p w14:paraId="2D59C596"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 xml:space="preserve">Analyser notamment l’émergence et la construction d’un dialogue social territorial et sa relation à la norme, avec ses atouts et ses ambiguïtés, ses opportunités et ses risques. </w:t>
      </w:r>
    </w:p>
    <w:p w14:paraId="67FDC569"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 xml:space="preserve">Y a-t-il opposition irréductible entre une démarche top-down et une démarche </w:t>
      </w:r>
      <w:r w:rsidRPr="00392B29">
        <w:rPr>
          <w:rFonts w:ascii="Palatino" w:hAnsi="Palatino" w:cs="Times New Roman"/>
          <w:i/>
          <w:iCs/>
        </w:rPr>
        <w:t>bottom-up</w:t>
      </w:r>
      <w:r w:rsidRPr="00392B29">
        <w:rPr>
          <w:rFonts w:ascii="Palatino" w:hAnsi="Palatino" w:cs="Times New Roman"/>
        </w:rPr>
        <w:t> ?</w:t>
      </w:r>
    </w:p>
    <w:p w14:paraId="0D8B4449"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 xml:space="preserve">Pour tenter d’y répondre, notre hypothèse est que les normes sont </w:t>
      </w:r>
      <w:r w:rsidRPr="00392B29">
        <w:rPr>
          <w:rFonts w:ascii="Palatino" w:hAnsi="Palatino" w:cs="Times New Roman"/>
          <w:b/>
          <w:bCs/>
        </w:rPr>
        <w:t>relatives</w:t>
      </w:r>
      <w:r w:rsidRPr="00392B29">
        <w:rPr>
          <w:rFonts w:ascii="Palatino" w:hAnsi="Palatino" w:cs="Times New Roman"/>
        </w:rPr>
        <w:t xml:space="preserve">, </w:t>
      </w:r>
      <w:r w:rsidRPr="00392B29">
        <w:rPr>
          <w:rFonts w:ascii="Palatino" w:hAnsi="Palatino" w:cs="Times New Roman"/>
          <w:b/>
          <w:bCs/>
        </w:rPr>
        <w:t>historiquement situées</w:t>
      </w:r>
      <w:r w:rsidRPr="00392B29">
        <w:rPr>
          <w:rFonts w:ascii="Palatino" w:hAnsi="Palatino" w:cs="Times New Roman"/>
        </w:rPr>
        <w:t xml:space="preserve">. Elles sont le fruit des rapports de forces en présence à un moment donné. Dès lors, les systèmes en place en proie à leurs propres limites d’adaptation voient se développer un réservoir de « déviants » qui « réinventent », réinterprètent » : il s’agit de « bricoleurs » au sens de Lévi-Strauss. Ces agents émergeant de « réservoirs clandestins » et/ou périphériques peuvent profiter du « relâchement » des contraintes de la cohérence et de la cohésion (présumées) des institutions pour expérimenter. Ils deviennent ou peuvent alors devenir les porteurs de nouvelles représentations. Si le bricolage est par définition créateur de tensions, de différences, de déplacements, il </w:t>
      </w:r>
      <w:r w:rsidRPr="00392B29">
        <w:rPr>
          <w:rFonts w:ascii="Palatino" w:hAnsi="Palatino" w:cs="Times New Roman"/>
        </w:rPr>
        <w:lastRenderedPageBreak/>
        <w:t xml:space="preserve">consiste aussi à prendre une voie détournée, à faire des </w:t>
      </w:r>
      <w:r w:rsidRPr="00392B29">
        <w:rPr>
          <w:rFonts w:ascii="Palatino" w:hAnsi="Palatino" w:cs="Times New Roman"/>
          <w:b/>
          <w:bCs/>
        </w:rPr>
        <w:t>compromis</w:t>
      </w:r>
      <w:r w:rsidRPr="00392B29">
        <w:rPr>
          <w:rFonts w:ascii="Palatino" w:hAnsi="Palatino" w:cs="Times New Roman"/>
        </w:rPr>
        <w:t xml:space="preserve"> entre le vouloir et le pouvoir.</w:t>
      </w:r>
    </w:p>
    <w:p w14:paraId="32C750A7" w14:textId="77777777" w:rsidR="00392B29" w:rsidRPr="00392B29" w:rsidRDefault="00392B29" w:rsidP="00392B29">
      <w:pPr>
        <w:spacing w:before="100" w:beforeAutospacing="1" w:after="100" w:afterAutospacing="1"/>
        <w:jc w:val="both"/>
        <w:rPr>
          <w:rFonts w:ascii="Palatino" w:hAnsi="Palatino" w:cs="Times New Roman"/>
        </w:rPr>
      </w:pPr>
      <w:r w:rsidRPr="00392B29">
        <w:rPr>
          <w:rFonts w:ascii="Palatino" w:hAnsi="Palatino" w:cs="Times New Roman"/>
        </w:rPr>
        <w:t>A cet égard, le système ne peut plus répondre aux enjeux d’efficacité voire de légitimité sans intégrer les stratégies périphériques déployées par des acteurs en son sein.</w:t>
      </w:r>
    </w:p>
    <w:p w14:paraId="236DEFFC" w14:textId="77777777" w:rsidR="00392B29" w:rsidRPr="00392B29" w:rsidRDefault="00392B29" w:rsidP="00392B29">
      <w:pPr>
        <w:spacing w:before="100" w:beforeAutospacing="1" w:after="100" w:afterAutospacing="1"/>
        <w:rPr>
          <w:rFonts w:ascii="Palatino" w:hAnsi="Palatino" w:cs="Times New Roman"/>
        </w:rPr>
      </w:pPr>
    </w:p>
    <w:p w14:paraId="4B9C5DCE" w14:textId="77777777" w:rsidR="00392B29" w:rsidRPr="00392B29" w:rsidRDefault="00392B29" w:rsidP="00392B29">
      <w:pPr>
        <w:spacing w:before="100" w:beforeAutospacing="1" w:after="100" w:afterAutospacing="1"/>
        <w:rPr>
          <w:rFonts w:ascii="Palatino" w:hAnsi="Palatino" w:cs="Times New Roman"/>
        </w:rPr>
      </w:pPr>
      <w:r w:rsidRPr="00392B29">
        <w:rPr>
          <w:rFonts w:ascii="Palatino" w:hAnsi="Palatino" w:cs="Times New Roman"/>
          <w:b/>
          <w:bCs/>
        </w:rPr>
        <w:t>- Retour sur le Bilan de l’axe 1 pour le rapport Quinquennal</w:t>
      </w:r>
    </w:p>
    <w:p w14:paraId="48C777B6" w14:textId="77777777" w:rsidR="00392B29" w:rsidRPr="00392B29" w:rsidRDefault="00392B29" w:rsidP="00392B29">
      <w:pPr>
        <w:spacing w:before="100" w:beforeAutospacing="1" w:after="100" w:afterAutospacing="1"/>
        <w:rPr>
          <w:rFonts w:ascii="Palatino" w:hAnsi="Palatino" w:cs="Times New Roman"/>
        </w:rPr>
      </w:pPr>
    </w:p>
    <w:p w14:paraId="27484CB9" w14:textId="77777777" w:rsidR="00392B29" w:rsidRPr="00392B29" w:rsidRDefault="00392B29" w:rsidP="00392B29">
      <w:pPr>
        <w:spacing w:before="100" w:beforeAutospacing="1" w:after="100" w:afterAutospacing="1"/>
        <w:rPr>
          <w:rFonts w:ascii="Palatino" w:hAnsi="Palatino" w:cs="Times New Roman"/>
        </w:rPr>
      </w:pPr>
      <w:r w:rsidRPr="00392B29">
        <w:rPr>
          <w:rFonts w:ascii="Palatino" w:hAnsi="Palatino" w:cs="Times New Roman"/>
          <w:b/>
          <w:bCs/>
        </w:rPr>
        <w:t xml:space="preserve">- Point Budget prévisionnel 2017 </w:t>
      </w:r>
    </w:p>
    <w:p w14:paraId="1BB41340" w14:textId="77777777" w:rsidR="00392B29" w:rsidRPr="00392B29" w:rsidRDefault="00392B29">
      <w:pPr>
        <w:rPr>
          <w:rFonts w:ascii="Palatino" w:hAnsi="Palatino"/>
        </w:rPr>
      </w:pPr>
    </w:p>
    <w:sectPr w:rsidR="00392B29" w:rsidRPr="00392B29" w:rsidSect="003A680D">
      <w:pgSz w:w="11900" w:h="16840"/>
      <w:pgMar w:top="1418" w:right="1418" w:bottom="1276" w:left="1985"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5CD2" w14:textId="77777777" w:rsidR="00392B29" w:rsidRDefault="00392B29" w:rsidP="00392B29">
      <w:r>
        <w:separator/>
      </w:r>
    </w:p>
  </w:endnote>
  <w:endnote w:type="continuationSeparator" w:id="0">
    <w:p w14:paraId="64852311" w14:textId="77777777" w:rsidR="00392B29" w:rsidRDefault="00392B29" w:rsidP="0039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4102" w14:textId="77777777" w:rsidR="00392B29" w:rsidRDefault="00392B29" w:rsidP="00392B29">
      <w:r>
        <w:separator/>
      </w:r>
    </w:p>
  </w:footnote>
  <w:footnote w:type="continuationSeparator" w:id="0">
    <w:p w14:paraId="34BF4B9C" w14:textId="77777777" w:rsidR="00392B29" w:rsidRDefault="00392B29" w:rsidP="00392B29">
      <w:r>
        <w:continuationSeparator/>
      </w:r>
    </w:p>
  </w:footnote>
  <w:footnote w:id="1">
    <w:p w14:paraId="7C819DE2" w14:textId="77777777" w:rsidR="00392B29" w:rsidRDefault="00392B29" w:rsidP="00392B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drawingGridHorizontalSpacing w:val="181"/>
  <w:drawingGridVerticalSpacing w:val="181"/>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29"/>
    <w:rsid w:val="000B371C"/>
    <w:rsid w:val="00392B29"/>
    <w:rsid w:val="003A680D"/>
    <w:rsid w:val="00816E82"/>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CD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E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E82"/>
    <w:rPr>
      <w:rFonts w:ascii="Lucida Grande" w:hAnsi="Lucida Grande" w:cs="Lucida Grande"/>
      <w:sz w:val="18"/>
      <w:szCs w:val="18"/>
    </w:rPr>
  </w:style>
  <w:style w:type="character" w:styleId="Marquenotebasdepage">
    <w:name w:val="footnote reference"/>
    <w:basedOn w:val="Policepardfaut"/>
    <w:uiPriority w:val="99"/>
    <w:semiHidden/>
    <w:unhideWhenUsed/>
    <w:rsid w:val="00392B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E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E82"/>
    <w:rPr>
      <w:rFonts w:ascii="Lucida Grande" w:hAnsi="Lucida Grande" w:cs="Lucida Grande"/>
      <w:sz w:val="18"/>
      <w:szCs w:val="18"/>
    </w:rPr>
  </w:style>
  <w:style w:type="character" w:styleId="Marquenotebasdepage">
    <w:name w:val="footnote reference"/>
    <w:basedOn w:val="Policepardfaut"/>
    <w:uiPriority w:val="99"/>
    <w:semiHidden/>
    <w:unhideWhenUsed/>
    <w:rsid w:val="0039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2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2667</Characters>
  <Application>Microsoft Macintosh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Florence  Daniel</dc:creator>
  <cp:keywords/>
  <dc:description/>
  <cp:lastModifiedBy> Florence  Daniel</cp:lastModifiedBy>
  <cp:revision>2</cp:revision>
  <dcterms:created xsi:type="dcterms:W3CDTF">2017-09-21T12:50:00Z</dcterms:created>
  <dcterms:modified xsi:type="dcterms:W3CDTF">2017-09-21T12:53:00Z</dcterms:modified>
</cp:coreProperties>
</file>