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425" w:rsidRDefault="00631168">
      <w:pPr>
        <w:pStyle w:val="Standard"/>
        <w:jc w:val="center"/>
        <w:rPr>
          <w:rFonts w:ascii="Times New Roman" w:hAnsi="Times New Roman"/>
          <w:sz w:val="24"/>
          <w:szCs w:val="24"/>
        </w:rPr>
      </w:pPr>
      <w:r>
        <w:rPr>
          <w:rFonts w:ascii="Times New Roman" w:hAnsi="Times New Roman"/>
          <w:b/>
          <w:sz w:val="24"/>
          <w:szCs w:val="24"/>
        </w:rPr>
        <w:t>Appel à candidatures</w:t>
      </w:r>
    </w:p>
    <w:p w:rsidR="005E0425" w:rsidRDefault="00A94BEB">
      <w:pPr>
        <w:pStyle w:val="Standard"/>
        <w:jc w:val="center"/>
        <w:rPr>
          <w:rFonts w:ascii="Times New Roman" w:hAnsi="Times New Roman"/>
          <w:sz w:val="24"/>
          <w:szCs w:val="24"/>
        </w:rPr>
      </w:pPr>
      <w:r>
        <w:rPr>
          <w:rFonts w:ascii="Times New Roman" w:hAnsi="Times New Roman"/>
          <w:b/>
          <w:sz w:val="24"/>
          <w:szCs w:val="24"/>
        </w:rPr>
        <w:t>Contrat doctoral en géographie-</w:t>
      </w:r>
      <w:r w:rsidR="00631168">
        <w:rPr>
          <w:rFonts w:ascii="Times New Roman" w:hAnsi="Times New Roman"/>
          <w:b/>
          <w:sz w:val="24"/>
          <w:szCs w:val="24"/>
        </w:rPr>
        <w:t>aménagement du territoire</w:t>
      </w:r>
    </w:p>
    <w:p w:rsidR="005E0425" w:rsidRDefault="005E0425">
      <w:pPr>
        <w:pStyle w:val="Standard"/>
        <w:spacing w:line="240" w:lineRule="auto"/>
        <w:jc w:val="center"/>
        <w:rPr>
          <w:rFonts w:ascii="Times New Roman" w:hAnsi="Times New Roman"/>
          <w:sz w:val="24"/>
          <w:szCs w:val="24"/>
        </w:rPr>
      </w:pPr>
    </w:p>
    <w:p w:rsidR="00A94BEB" w:rsidRDefault="00631168">
      <w:pPr>
        <w:pStyle w:val="Default"/>
        <w:jc w:val="both"/>
        <w:rPr>
          <w:rFonts w:ascii="Times New Roman" w:hAnsi="Times New Roman" w:cs="Times New Roman"/>
          <w:b/>
          <w:bCs/>
          <w:color w:val="00000A"/>
        </w:rPr>
      </w:pPr>
      <w:r>
        <w:rPr>
          <w:rFonts w:ascii="Times New Roman" w:hAnsi="Times New Roman"/>
          <w:b/>
        </w:rPr>
        <w:t>Titre : "Circuits agroalimentaires de p</w:t>
      </w:r>
      <w:r>
        <w:rPr>
          <w:rFonts w:ascii="Times New Roman" w:hAnsi="Times New Roman" w:cs="Times New Roman"/>
          <w:b/>
          <w:bCs/>
          <w:color w:val="00000A"/>
        </w:rPr>
        <w:t xml:space="preserve">roximité, territoires et action collective" </w:t>
      </w:r>
    </w:p>
    <w:p w:rsidR="005E0425" w:rsidRDefault="00A94BEB">
      <w:pPr>
        <w:pStyle w:val="Default"/>
        <w:jc w:val="both"/>
        <w:rPr>
          <w:rFonts w:ascii="Times New Roman" w:hAnsi="Times New Roman" w:cs="Times New Roman"/>
          <w:b/>
          <w:bCs/>
          <w:color w:val="00000A"/>
        </w:rPr>
      </w:pPr>
      <w:r>
        <w:rPr>
          <w:rFonts w:ascii="Times New Roman" w:hAnsi="Times New Roman" w:cs="Times New Roman"/>
          <w:b/>
          <w:bCs/>
          <w:color w:val="00000A"/>
        </w:rPr>
        <w:t xml:space="preserve">Laboratoire </w:t>
      </w:r>
      <w:r w:rsidR="00631168">
        <w:rPr>
          <w:rFonts w:ascii="Times New Roman" w:hAnsi="Times New Roman" w:cs="Times New Roman"/>
          <w:b/>
          <w:bCs/>
          <w:color w:val="00000A"/>
        </w:rPr>
        <w:t>GEOLAB, Université de Limoges</w:t>
      </w:r>
    </w:p>
    <w:p w:rsidR="00A94BEB" w:rsidRDefault="00A94BEB">
      <w:pPr>
        <w:pStyle w:val="Default"/>
        <w:jc w:val="both"/>
        <w:rPr>
          <w:rFonts w:ascii="Times New Roman" w:hAnsi="Times New Roman"/>
        </w:rPr>
      </w:pPr>
      <w:r>
        <w:rPr>
          <w:rFonts w:ascii="Times New Roman" w:hAnsi="Times New Roman" w:cs="Times New Roman"/>
          <w:b/>
          <w:bCs/>
          <w:color w:val="00000A"/>
        </w:rPr>
        <w:t xml:space="preserve">Co-encadrement : Christophe </w:t>
      </w:r>
      <w:proofErr w:type="spellStart"/>
      <w:r>
        <w:rPr>
          <w:rFonts w:ascii="Times New Roman" w:hAnsi="Times New Roman" w:cs="Times New Roman"/>
          <w:b/>
          <w:bCs/>
          <w:color w:val="00000A"/>
        </w:rPr>
        <w:t>Beaurain</w:t>
      </w:r>
      <w:proofErr w:type="spellEnd"/>
      <w:r>
        <w:rPr>
          <w:rFonts w:ascii="Times New Roman" w:hAnsi="Times New Roman" w:cs="Times New Roman"/>
          <w:b/>
          <w:bCs/>
          <w:color w:val="00000A"/>
        </w:rPr>
        <w:t xml:space="preserve">, Julien </w:t>
      </w:r>
      <w:proofErr w:type="spellStart"/>
      <w:r>
        <w:rPr>
          <w:rFonts w:ascii="Times New Roman" w:hAnsi="Times New Roman" w:cs="Times New Roman"/>
          <w:b/>
          <w:bCs/>
          <w:color w:val="00000A"/>
        </w:rPr>
        <w:t>Dellier</w:t>
      </w:r>
      <w:proofErr w:type="spellEnd"/>
      <w:r>
        <w:rPr>
          <w:rFonts w:ascii="Times New Roman" w:hAnsi="Times New Roman" w:cs="Times New Roman"/>
          <w:b/>
          <w:bCs/>
          <w:color w:val="00000A"/>
        </w:rPr>
        <w:t>, Marius Chevallier</w:t>
      </w:r>
    </w:p>
    <w:p w:rsidR="005E0425" w:rsidRDefault="005E0425">
      <w:pPr>
        <w:pStyle w:val="Default"/>
        <w:jc w:val="both"/>
        <w:rPr>
          <w:rFonts w:ascii="Times New Roman" w:hAnsi="Times New Roman"/>
        </w:rPr>
      </w:pPr>
    </w:p>
    <w:p w:rsidR="005E0425" w:rsidRDefault="00631168">
      <w:pPr>
        <w:pStyle w:val="Standard"/>
        <w:spacing w:line="240" w:lineRule="auto"/>
        <w:jc w:val="both"/>
        <w:rPr>
          <w:rFonts w:ascii="Times New Roman" w:hAnsi="Times New Roman"/>
          <w:sz w:val="24"/>
          <w:szCs w:val="24"/>
        </w:rPr>
      </w:pPr>
      <w:r>
        <w:rPr>
          <w:rFonts w:ascii="Times New Roman" w:hAnsi="Times New Roman"/>
          <w:b/>
          <w:sz w:val="24"/>
          <w:szCs w:val="24"/>
        </w:rPr>
        <w:t xml:space="preserve">Durée : </w:t>
      </w:r>
      <w:r>
        <w:rPr>
          <w:rFonts w:ascii="Times New Roman" w:hAnsi="Times New Roman"/>
          <w:sz w:val="24"/>
          <w:szCs w:val="24"/>
        </w:rPr>
        <w:t>36 mois</w:t>
      </w:r>
    </w:p>
    <w:p w:rsidR="005E0425" w:rsidRDefault="00631168">
      <w:pPr>
        <w:pStyle w:val="Standard"/>
        <w:spacing w:line="240" w:lineRule="auto"/>
        <w:jc w:val="both"/>
        <w:rPr>
          <w:rFonts w:ascii="Times New Roman" w:hAnsi="Times New Roman"/>
          <w:sz w:val="24"/>
          <w:szCs w:val="24"/>
        </w:rPr>
      </w:pPr>
      <w:r>
        <w:rPr>
          <w:rFonts w:ascii="Times New Roman" w:hAnsi="Times New Roman"/>
          <w:b/>
          <w:sz w:val="24"/>
          <w:szCs w:val="24"/>
        </w:rPr>
        <w:t xml:space="preserve">Date de recrutement : </w:t>
      </w:r>
      <w:r>
        <w:rPr>
          <w:rFonts w:ascii="Times New Roman" w:hAnsi="Times New Roman"/>
          <w:sz w:val="24"/>
          <w:szCs w:val="24"/>
        </w:rPr>
        <w:t>octobre 2017</w:t>
      </w:r>
    </w:p>
    <w:p w:rsidR="005E0425" w:rsidRDefault="00631168">
      <w:pPr>
        <w:pStyle w:val="Standard"/>
        <w:spacing w:line="240" w:lineRule="auto"/>
        <w:jc w:val="both"/>
        <w:rPr>
          <w:rFonts w:ascii="Times New Roman" w:hAnsi="Times New Roman"/>
          <w:sz w:val="24"/>
          <w:szCs w:val="24"/>
        </w:rPr>
      </w:pPr>
      <w:r>
        <w:rPr>
          <w:rFonts w:ascii="Times New Roman" w:hAnsi="Times New Roman"/>
          <w:b/>
          <w:sz w:val="24"/>
          <w:szCs w:val="24"/>
        </w:rPr>
        <w:t>Lieu de travail :</w:t>
      </w:r>
      <w:r>
        <w:rPr>
          <w:rFonts w:ascii="Times New Roman" w:hAnsi="Times New Roman"/>
          <w:sz w:val="24"/>
          <w:szCs w:val="24"/>
        </w:rPr>
        <w:t xml:space="preserve"> </w:t>
      </w:r>
      <w:proofErr w:type="spellStart"/>
      <w:r>
        <w:rPr>
          <w:rFonts w:ascii="Times New Roman" w:hAnsi="Times New Roman"/>
          <w:sz w:val="24"/>
          <w:szCs w:val="24"/>
        </w:rPr>
        <w:t>G</w:t>
      </w:r>
      <w:r w:rsidR="00A94BEB">
        <w:rPr>
          <w:rFonts w:ascii="Times New Roman" w:hAnsi="Times New Roman"/>
          <w:sz w:val="24"/>
          <w:szCs w:val="24"/>
        </w:rPr>
        <w:t>é</w:t>
      </w:r>
      <w:r>
        <w:rPr>
          <w:rFonts w:ascii="Times New Roman" w:hAnsi="Times New Roman"/>
          <w:sz w:val="24"/>
          <w:szCs w:val="24"/>
        </w:rPr>
        <w:t>olab</w:t>
      </w:r>
      <w:proofErr w:type="spellEnd"/>
      <w:r>
        <w:rPr>
          <w:rFonts w:ascii="Times New Roman" w:hAnsi="Times New Roman"/>
          <w:sz w:val="24"/>
          <w:szCs w:val="24"/>
        </w:rPr>
        <w:t>, Limoges</w:t>
      </w:r>
    </w:p>
    <w:p w:rsidR="005E0425" w:rsidRDefault="005E0425">
      <w:pPr>
        <w:pStyle w:val="Default"/>
        <w:jc w:val="both"/>
        <w:rPr>
          <w:rFonts w:ascii="Times New Roman" w:hAnsi="Times New Roman"/>
        </w:rPr>
      </w:pPr>
    </w:p>
    <w:p w:rsidR="005E0425" w:rsidRDefault="00A94BEB">
      <w:pPr>
        <w:pStyle w:val="Default"/>
        <w:jc w:val="both"/>
        <w:rPr>
          <w:rFonts w:ascii="Times New Roman" w:hAnsi="Times New Roman"/>
          <w:b/>
          <w:bCs/>
        </w:rPr>
      </w:pPr>
      <w:r>
        <w:rPr>
          <w:rFonts w:ascii="Times New Roman" w:hAnsi="Times New Roman"/>
          <w:b/>
          <w:bCs/>
        </w:rPr>
        <w:t xml:space="preserve">Cette thèse s’inscrit </w:t>
      </w:r>
      <w:r w:rsidR="00631168">
        <w:rPr>
          <w:rFonts w:ascii="Times New Roman" w:hAnsi="Times New Roman"/>
          <w:b/>
          <w:bCs/>
        </w:rPr>
        <w:t>dans un projet collectif de recherche</w:t>
      </w:r>
      <w:r>
        <w:rPr>
          <w:rFonts w:ascii="Times New Roman" w:hAnsi="Times New Roman"/>
          <w:b/>
          <w:bCs/>
        </w:rPr>
        <w:t xml:space="preserve"> </w:t>
      </w:r>
      <w:r w:rsidR="00631168">
        <w:rPr>
          <w:rFonts w:ascii="Times New Roman" w:hAnsi="Times New Roman"/>
          <w:b/>
          <w:bCs/>
        </w:rPr>
        <w:t>: « Agriculture de proximité et politiques alimentaires locales » (APPAL)</w:t>
      </w:r>
      <w:r>
        <w:rPr>
          <w:rFonts w:ascii="Times New Roman" w:hAnsi="Times New Roman"/>
          <w:b/>
          <w:bCs/>
        </w:rPr>
        <w:t>, financé par la Région Nouvelle Aquitaine</w:t>
      </w:r>
    </w:p>
    <w:p w:rsidR="005E0425" w:rsidRDefault="005E0425">
      <w:pPr>
        <w:pStyle w:val="Default"/>
        <w:jc w:val="both"/>
        <w:rPr>
          <w:rFonts w:ascii="Times New Roman" w:hAnsi="Times New Roman"/>
        </w:rPr>
      </w:pPr>
    </w:p>
    <w:p w:rsidR="005E0425" w:rsidRDefault="00631168">
      <w:pPr>
        <w:pStyle w:val="Default"/>
        <w:jc w:val="both"/>
        <w:rPr>
          <w:rFonts w:ascii="Times New Roman" w:hAnsi="Times New Roman"/>
        </w:rPr>
      </w:pPr>
      <w:r>
        <w:rPr>
          <w:rFonts w:ascii="Times New Roman" w:hAnsi="Times New Roman"/>
        </w:rPr>
        <w:t>Les équipes de recherche impliquées dans le projet</w:t>
      </w:r>
      <w:r w:rsidR="00A94BEB">
        <w:rPr>
          <w:rFonts w:ascii="Times New Roman" w:hAnsi="Times New Roman"/>
        </w:rPr>
        <w:t xml:space="preserve"> </w:t>
      </w:r>
      <w:r>
        <w:rPr>
          <w:rFonts w:ascii="Times New Roman" w:hAnsi="Times New Roman"/>
        </w:rPr>
        <w:t>:</w:t>
      </w:r>
    </w:p>
    <w:p w:rsidR="005E0425" w:rsidRDefault="00631168">
      <w:pPr>
        <w:pStyle w:val="Default"/>
        <w:jc w:val="both"/>
        <w:rPr>
          <w:rFonts w:ascii="Times New Roman" w:hAnsi="Times New Roman"/>
        </w:rPr>
      </w:pPr>
      <w:r>
        <w:rPr>
          <w:rFonts w:ascii="Times New Roman" w:hAnsi="Times New Roman"/>
        </w:rPr>
        <w:t>UMR 5319 Passages (Bordeaux), UMR 6042 GEOLAB (Limoges), EA 4332 CREOP (Limoges), EA 2242 Ruralités (Poitiers), EADT de l’IRSTEA (Bordeaux). Il implique trois universités de la Région Nouvelle-Aquitaine (Université de Limoges, Université de Poitiers, Université Bordeaux Montaigne) ainsi que l’École nationale supérieure des sciences agronomiques de Bordeaux Aquitaine (Bordeaux Sciences Agro).</w:t>
      </w:r>
    </w:p>
    <w:p w:rsidR="005E0425" w:rsidRDefault="00631168">
      <w:pPr>
        <w:pStyle w:val="Default"/>
        <w:jc w:val="both"/>
        <w:rPr>
          <w:rFonts w:ascii="Times New Roman" w:hAnsi="Times New Roman"/>
        </w:rPr>
      </w:pPr>
      <w:r>
        <w:rPr>
          <w:rFonts w:ascii="Times New Roman" w:hAnsi="Times New Roman"/>
        </w:rPr>
        <w:t>Ces équipes ont démarré une collaboration en 2013 autour d'un observatoire des proximités www.proximites-obs.fr.</w:t>
      </w:r>
    </w:p>
    <w:p w:rsidR="005E0425" w:rsidRDefault="005E0425">
      <w:pPr>
        <w:pStyle w:val="Default"/>
        <w:jc w:val="both"/>
        <w:rPr>
          <w:rFonts w:ascii="Times New Roman" w:hAnsi="Times New Roman"/>
        </w:rPr>
      </w:pPr>
    </w:p>
    <w:p w:rsidR="00A94BEB" w:rsidRPr="00A94BEB" w:rsidRDefault="0037725F">
      <w:pPr>
        <w:pStyle w:val="Default"/>
        <w:jc w:val="both"/>
        <w:rPr>
          <w:rFonts w:ascii="Times New Roman" w:hAnsi="Times New Roman" w:cs="Times New Roman"/>
          <w:b/>
        </w:rPr>
      </w:pPr>
      <w:r w:rsidRPr="0037725F">
        <w:rPr>
          <w:rFonts w:ascii="Times New Roman" w:hAnsi="Times New Roman" w:cs="Times New Roman"/>
          <w:b/>
        </w:rPr>
        <w:t xml:space="preserve">Les objectifs du projet de recherche : </w:t>
      </w:r>
    </w:p>
    <w:p w:rsidR="005E0425" w:rsidRDefault="00631168">
      <w:pPr>
        <w:pStyle w:val="Default"/>
        <w:jc w:val="both"/>
        <w:rPr>
          <w:rFonts w:ascii="Times New Roman" w:hAnsi="Times New Roman"/>
        </w:rPr>
      </w:pPr>
      <w:r>
        <w:rPr>
          <w:rFonts w:ascii="Times New Roman" w:hAnsi="Times New Roman" w:cs="Times New Roman"/>
        </w:rPr>
        <w:t>Le dynamisme que connait le développement d'agricultures de proximité dans les pays développés répond à la fois aux grands défis planétaires (nourrir une population de plus en plus nombreuse et urbanisée, prévenir le réchauffement climatique, faire face à la raréfaction des ressources énergétiques), aux attentes d’une société urbanisée (assurer la sécurité alimentaire avec une agriculture « propre ») et aux problèmes auxquels est confronté le monde agricole (crises économiques, environnementales, sociales et sanitaires).</w:t>
      </w:r>
    </w:p>
    <w:p w:rsidR="005E0425" w:rsidRDefault="00631168">
      <w:pPr>
        <w:pStyle w:val="Default"/>
        <w:jc w:val="both"/>
        <w:rPr>
          <w:rFonts w:ascii="Times New Roman" w:hAnsi="Times New Roman"/>
        </w:rPr>
      </w:pPr>
      <w:r>
        <w:rPr>
          <w:rFonts w:ascii="Times New Roman" w:hAnsi="Times New Roman" w:cs="Times New Roman"/>
        </w:rPr>
        <w:t>Le territoire de la Nouvelle-Aquitaine est très largement concerné par ce mouvement. Des projets de plus en plus nombreux associant agriculture-alimentation-proximité voient le jour depuis quelques années. Les premières initiatives citoyennes (de producteurs, de consommateurs, d'intermédiaires) ont privilégié les circuits courts et de proximité (peu ou pas d’intermédiaires) pour rapprocher producteurs et consommateurs. Progressivement on constate que cette relation linéaire ne suffit pas pour rendre compte des interactions qui s’opèrent. La multiplication des acteurs et le lien à la proximité amène</w:t>
      </w:r>
      <w:r w:rsidR="00376326">
        <w:rPr>
          <w:rFonts w:ascii="Times New Roman" w:hAnsi="Times New Roman" w:cs="Times New Roman"/>
        </w:rPr>
        <w:t>nt</w:t>
      </w:r>
      <w:r>
        <w:rPr>
          <w:rFonts w:ascii="Times New Roman" w:hAnsi="Times New Roman" w:cs="Times New Roman"/>
        </w:rPr>
        <w:t xml:space="preserve"> à faire référence à la notion de système alimentaire territorialisé (SAT). Elle met l’accent sur l’articulation entre systèmes alimentaires, développement local et gouvernance territoriale. Les collectivités territoriales, peu intéressées a priori par les questions agricoles et alimentaires, qui n’entraient pas vraiment dans leurs compétences jusqu'à récemment, se trouvent désormais interpellées à la fois par la dimension territoriale (gestion du foncier, pérennisation des espaces agricoles, revendications citoyennes de qualité alimentaire, de qualité du cadre de vie) mais aussi par la dimension politique en lien avec les orientations nationales et régionales de l’alimentation (cf. les Projets Alimentaires de Territoire dans la Loi d’Avenir pour l’Agriculture, l’Alimentation et la Forêt du 13 Octobre 2014). Aussi les collectivités sont non seulement sollicitées pour </w:t>
      </w:r>
      <w:r>
        <w:rPr>
          <w:rFonts w:ascii="Times New Roman" w:hAnsi="Times New Roman" w:cs="Times New Roman"/>
        </w:rPr>
        <w:lastRenderedPageBreak/>
        <w:t>accompagner les SAT mais elles deviennent peu à peu porteuses voire prescriptrices de ces systèmes. Des positionnements très variables des collectivités territoriales dans la construction de ces systèmes se dessinent. L’introduction de l’agriculture et de l’alimentation dans leurs prérogatives est récente et rompt avec la logique sectorielle des politiques agricoles et alimentaires qui a prévalu jusqu’à ce jour en France et en Europe.</w:t>
      </w:r>
    </w:p>
    <w:p w:rsidR="005E0425" w:rsidRDefault="005E0425">
      <w:pPr>
        <w:pStyle w:val="Default"/>
        <w:jc w:val="both"/>
        <w:rPr>
          <w:rFonts w:ascii="Times New Roman" w:hAnsi="Times New Roman"/>
        </w:rPr>
      </w:pPr>
    </w:p>
    <w:p w:rsidR="005E0425" w:rsidRDefault="00A94BEB">
      <w:pPr>
        <w:pStyle w:val="Default"/>
        <w:jc w:val="both"/>
        <w:rPr>
          <w:rFonts w:ascii="Times New Roman" w:hAnsi="Times New Roman"/>
        </w:rPr>
      </w:pPr>
      <w:r>
        <w:rPr>
          <w:rFonts w:ascii="Times New Roman" w:hAnsi="Times New Roman" w:cs="Times New Roman"/>
        </w:rPr>
        <w:t>Dans ce contexte, l</w:t>
      </w:r>
      <w:r w:rsidR="00631168">
        <w:rPr>
          <w:rFonts w:ascii="Times New Roman" w:hAnsi="Times New Roman" w:cs="Times New Roman"/>
        </w:rPr>
        <w:t xml:space="preserve">e projet </w:t>
      </w:r>
      <w:r>
        <w:rPr>
          <w:rFonts w:ascii="Times New Roman" w:hAnsi="Times New Roman" w:cs="Times New Roman"/>
        </w:rPr>
        <w:t xml:space="preserve">de recherche </w:t>
      </w:r>
      <w:r w:rsidR="00631168">
        <w:rPr>
          <w:rFonts w:ascii="Times New Roman" w:hAnsi="Times New Roman" w:cs="Times New Roman"/>
        </w:rPr>
        <w:t>se donne trois principaux objectifs :</w:t>
      </w:r>
    </w:p>
    <w:p w:rsidR="005E0425" w:rsidRDefault="00631168">
      <w:pPr>
        <w:pStyle w:val="Default"/>
        <w:numPr>
          <w:ilvl w:val="0"/>
          <w:numId w:val="2"/>
        </w:numPr>
        <w:jc w:val="both"/>
        <w:rPr>
          <w:rFonts w:ascii="Times New Roman" w:hAnsi="Times New Roman"/>
        </w:rPr>
      </w:pPr>
      <w:r>
        <w:rPr>
          <w:rFonts w:ascii="Times New Roman" w:hAnsi="Times New Roman" w:cs="Times New Roman"/>
        </w:rPr>
        <w:t>questionner les modalités de constructions des systèmes alimentaires territoriaux : comment construire, consolider, pérenniser ce nouveau rapport au territoire de l'agriculture et de l'alimentation voulu au travers de ces systèmes ?</w:t>
      </w:r>
    </w:p>
    <w:p w:rsidR="005E0425" w:rsidRDefault="00631168">
      <w:pPr>
        <w:pStyle w:val="Default"/>
        <w:numPr>
          <w:ilvl w:val="0"/>
          <w:numId w:val="1"/>
        </w:numPr>
        <w:jc w:val="both"/>
        <w:rPr>
          <w:rFonts w:ascii="Times New Roman" w:hAnsi="Times New Roman"/>
        </w:rPr>
      </w:pPr>
      <w:r>
        <w:rPr>
          <w:rFonts w:ascii="Times New Roman" w:hAnsi="Times New Roman" w:cs="Times New Roman"/>
        </w:rPr>
        <w:t>questionner la place des collectivités territoriales dans la relation entre agriculture et alimentation de proximité et dans la construction des systèmes alimentaires territoriaux ;</w:t>
      </w:r>
    </w:p>
    <w:p w:rsidR="005E0425" w:rsidRDefault="00631168">
      <w:pPr>
        <w:pStyle w:val="Default"/>
        <w:numPr>
          <w:ilvl w:val="0"/>
          <w:numId w:val="1"/>
        </w:numPr>
        <w:jc w:val="both"/>
        <w:rPr>
          <w:rFonts w:ascii="Times New Roman" w:hAnsi="Times New Roman"/>
        </w:rPr>
      </w:pPr>
      <w:r>
        <w:rPr>
          <w:rFonts w:ascii="Times New Roman" w:hAnsi="Times New Roman" w:cs="Times New Roman"/>
        </w:rPr>
        <w:t>analyser les facteurs qui permettent aux collectivités de développer des politiques agricoles et alimentaires territoriales et les modalités de construction de ces politiques. Nous considérons que la transition des SAT vers les politiques agricoles et alimentaires territoriales marque une inflexion dont il s’agit de bien cerner les ressorts.</w:t>
      </w:r>
    </w:p>
    <w:p w:rsidR="005E0425" w:rsidRDefault="005E0425">
      <w:pPr>
        <w:pStyle w:val="Default"/>
        <w:jc w:val="both"/>
        <w:rPr>
          <w:rFonts w:ascii="Times New Roman" w:hAnsi="Times New Roman" w:cs="Times New Roman"/>
          <w:color w:val="00000A"/>
        </w:rPr>
      </w:pPr>
    </w:p>
    <w:p w:rsidR="00A94BEB" w:rsidRDefault="00A94BEB">
      <w:pPr>
        <w:pStyle w:val="Default"/>
        <w:jc w:val="both"/>
        <w:rPr>
          <w:rFonts w:ascii="Times New Roman" w:hAnsi="Times New Roman" w:cs="Times New Roman"/>
          <w:b/>
          <w:bCs/>
        </w:rPr>
      </w:pPr>
    </w:p>
    <w:p w:rsidR="005E0425" w:rsidRDefault="00631168">
      <w:pPr>
        <w:pStyle w:val="Default"/>
        <w:jc w:val="both"/>
        <w:rPr>
          <w:rFonts w:ascii="Times New Roman" w:hAnsi="Times New Roman" w:cs="Times New Roman"/>
          <w:b/>
          <w:bCs/>
        </w:rPr>
      </w:pPr>
      <w:r>
        <w:rPr>
          <w:rFonts w:ascii="Times New Roman" w:hAnsi="Times New Roman" w:cs="Times New Roman"/>
          <w:b/>
          <w:bCs/>
        </w:rPr>
        <w:t>La thèse</w:t>
      </w:r>
    </w:p>
    <w:p w:rsidR="005E0425" w:rsidRDefault="005E0425">
      <w:pPr>
        <w:pStyle w:val="Default"/>
        <w:jc w:val="both"/>
        <w:rPr>
          <w:rFonts w:ascii="Times New Roman" w:hAnsi="Times New Roman" w:cs="Times New Roman"/>
        </w:rPr>
      </w:pPr>
    </w:p>
    <w:p w:rsidR="005E0425" w:rsidRDefault="00631168">
      <w:pPr>
        <w:pStyle w:val="Default"/>
        <w:jc w:val="both"/>
        <w:rPr>
          <w:rFonts w:ascii="Times New Roman" w:hAnsi="Times New Roman"/>
        </w:rPr>
      </w:pPr>
      <w:r>
        <w:rPr>
          <w:rFonts w:ascii="Times New Roman" w:hAnsi="Times New Roman" w:cs="Times New Roman"/>
        </w:rPr>
        <w:t xml:space="preserve">La thèse, basée à Limoges au sein du laboratoire GEOLAB (UMR 6042), s'inscrira dans l'équipe </w:t>
      </w:r>
      <w:r w:rsidR="00A94BEB">
        <w:rPr>
          <w:rFonts w:ascii="Times New Roman" w:hAnsi="Times New Roman" w:cs="Times New Roman"/>
        </w:rPr>
        <w:t>« </w:t>
      </w:r>
      <w:r>
        <w:rPr>
          <w:rFonts w:ascii="Times New Roman" w:hAnsi="Times New Roman" w:cs="Times New Roman"/>
        </w:rPr>
        <w:t>capital environnemental</w:t>
      </w:r>
      <w:r w:rsidR="00A94BEB">
        <w:rPr>
          <w:rFonts w:ascii="Times New Roman" w:hAnsi="Times New Roman" w:cs="Times New Roman"/>
        </w:rPr>
        <w:t> »</w:t>
      </w:r>
      <w:r>
        <w:rPr>
          <w:rFonts w:ascii="Times New Roman" w:hAnsi="Times New Roman" w:cs="Times New Roman"/>
        </w:rPr>
        <w:t>. Elle interviendra principalement sur les objectifs 1 et 2</w:t>
      </w:r>
      <w:r w:rsidR="00A94BEB">
        <w:rPr>
          <w:rFonts w:ascii="Times New Roman" w:hAnsi="Times New Roman" w:cs="Times New Roman"/>
        </w:rPr>
        <w:t xml:space="preserve"> du projet</w:t>
      </w:r>
      <w:r>
        <w:rPr>
          <w:rFonts w:ascii="Times New Roman" w:hAnsi="Times New Roman" w:cs="Times New Roman"/>
        </w:rPr>
        <w:t xml:space="preserve">, en se focalisant sur </w:t>
      </w:r>
      <w:r>
        <w:rPr>
          <w:rFonts w:ascii="Times New Roman" w:hAnsi="Times New Roman" w:cs="Times New Roman"/>
          <w:color w:val="00000A"/>
        </w:rPr>
        <w:t xml:space="preserve">les modalités d’élaboration des politiques alimentaires et notamment le passage des systèmes alimentaires territorialisés aux politiques alimentaires qui questionne particulièrement le rôle des collectivités territoriales. </w:t>
      </w:r>
      <w:r>
        <w:rPr>
          <w:rFonts w:ascii="Times New Roman" w:hAnsi="Times New Roman" w:cs="Times New Roman"/>
          <w:bCs/>
          <w:color w:val="00000A"/>
        </w:rPr>
        <w:t>.</w:t>
      </w:r>
    </w:p>
    <w:p w:rsidR="005E0425" w:rsidRDefault="00631168">
      <w:pPr>
        <w:pStyle w:val="Default"/>
        <w:jc w:val="both"/>
        <w:rPr>
          <w:rFonts w:ascii="Times New Roman" w:hAnsi="Times New Roman"/>
        </w:rPr>
      </w:pPr>
      <w:r>
        <w:rPr>
          <w:rFonts w:ascii="Times New Roman" w:hAnsi="Times New Roman" w:cs="Times New Roman"/>
          <w:bCs/>
          <w:color w:val="00000A"/>
        </w:rPr>
        <w:t xml:space="preserve">L'équipe travaille depuis 2009 sur les circuits de proximité agroalimentaires. Elle s'est focalisée dans un premier temps sur des collectifs </w:t>
      </w:r>
      <w:r w:rsidR="00376326">
        <w:rPr>
          <w:rFonts w:ascii="Times New Roman" w:hAnsi="Times New Roman" w:cs="Times New Roman"/>
          <w:bCs/>
          <w:color w:val="00000A"/>
        </w:rPr>
        <w:t>« </w:t>
      </w:r>
      <w:r>
        <w:rPr>
          <w:rFonts w:ascii="Times New Roman" w:hAnsi="Times New Roman" w:cs="Times New Roman"/>
          <w:bCs/>
          <w:color w:val="00000A"/>
        </w:rPr>
        <w:t>homogènes</w:t>
      </w:r>
      <w:r w:rsidR="00376326">
        <w:rPr>
          <w:rFonts w:ascii="Times New Roman" w:hAnsi="Times New Roman" w:cs="Times New Roman"/>
          <w:bCs/>
          <w:color w:val="00000A"/>
        </w:rPr>
        <w:t> »</w:t>
      </w:r>
      <w:r>
        <w:rPr>
          <w:rFonts w:ascii="Times New Roman" w:hAnsi="Times New Roman" w:cs="Times New Roman"/>
          <w:bCs/>
          <w:color w:val="00000A"/>
        </w:rPr>
        <w:t xml:space="preserve"> (producteurs, consommateurs) et cherche à intégrer désormais une plus grande diversité d'acteurs (</w:t>
      </w:r>
      <w:r w:rsidR="0013618E" w:rsidRPr="00586542">
        <w:rPr>
          <w:rFonts w:ascii="Times New Roman" w:hAnsi="Times New Roman" w:cs="Times New Roman"/>
          <w:bCs/>
          <w:color w:val="00000A"/>
        </w:rPr>
        <w:t>collectiv</w:t>
      </w:r>
      <w:r w:rsidR="00586542">
        <w:rPr>
          <w:rFonts w:ascii="Times New Roman" w:hAnsi="Times New Roman" w:cs="Times New Roman"/>
          <w:bCs/>
          <w:color w:val="00000A"/>
        </w:rPr>
        <w:t>ités</w:t>
      </w:r>
      <w:r>
        <w:rPr>
          <w:rFonts w:ascii="Times New Roman" w:hAnsi="Times New Roman" w:cs="Times New Roman"/>
          <w:bCs/>
          <w:color w:val="00000A"/>
        </w:rPr>
        <w:t xml:space="preserve">, organisations professionnelles agricoles, société civile, </w:t>
      </w:r>
      <w:proofErr w:type="spellStart"/>
      <w:r>
        <w:rPr>
          <w:rFonts w:ascii="Times New Roman" w:hAnsi="Times New Roman" w:cs="Times New Roman"/>
          <w:bCs/>
          <w:color w:val="00000A"/>
        </w:rPr>
        <w:t>etc</w:t>
      </w:r>
      <w:proofErr w:type="spellEnd"/>
      <w:r>
        <w:rPr>
          <w:rFonts w:ascii="Times New Roman" w:hAnsi="Times New Roman" w:cs="Times New Roman"/>
          <w:bCs/>
          <w:color w:val="00000A"/>
        </w:rPr>
        <w:t>). Après des partenariats avec l'ex-Région Limousin</w:t>
      </w:r>
      <w:r w:rsidR="00457A41">
        <w:rPr>
          <w:rFonts w:ascii="Times New Roman" w:hAnsi="Times New Roman" w:cs="Times New Roman"/>
          <w:bCs/>
          <w:color w:val="00000A"/>
        </w:rPr>
        <w:t xml:space="preserve"> </w:t>
      </w:r>
      <w:r>
        <w:rPr>
          <w:rFonts w:ascii="Times New Roman" w:hAnsi="Times New Roman" w:cs="Times New Roman"/>
          <w:bCs/>
          <w:color w:val="00000A"/>
        </w:rPr>
        <w:t>et la DRAAF Limousin (direction régionale agriculture alimentation forêt), une collaboration avec le réseau In</w:t>
      </w:r>
      <w:r w:rsidR="00586542">
        <w:rPr>
          <w:rFonts w:ascii="Times New Roman" w:hAnsi="Times New Roman" w:cs="Times New Roman"/>
          <w:bCs/>
          <w:color w:val="00000A"/>
        </w:rPr>
        <w:t>PACT</w:t>
      </w:r>
      <w:r>
        <w:rPr>
          <w:rFonts w:ascii="Times New Roman" w:hAnsi="Times New Roman" w:cs="Times New Roman"/>
          <w:bCs/>
          <w:color w:val="00000A"/>
        </w:rPr>
        <w:t xml:space="preserve"> Limousin</w:t>
      </w:r>
      <w:r w:rsidR="00457A41">
        <w:rPr>
          <w:rFonts w:ascii="Times New Roman" w:hAnsi="Times New Roman" w:cs="Times New Roman"/>
          <w:bCs/>
          <w:color w:val="00000A"/>
        </w:rPr>
        <w:t xml:space="preserve"> est venue compléter le réseau de partenaires constitué au fil des recherches</w:t>
      </w:r>
    </w:p>
    <w:p w:rsidR="005E0425" w:rsidRDefault="00631168">
      <w:pPr>
        <w:pStyle w:val="Default"/>
        <w:jc w:val="both"/>
        <w:rPr>
          <w:rFonts w:ascii="Times New Roman" w:hAnsi="Times New Roman"/>
        </w:rPr>
      </w:pPr>
      <w:r>
        <w:rPr>
          <w:rFonts w:ascii="Times New Roman" w:hAnsi="Times New Roman" w:cs="Times New Roman"/>
          <w:color w:val="00000A"/>
        </w:rPr>
        <w:t>Si les collectivités territoriales s'engagent dans la construction de systèmes alimentaires territoriaux, le passage du SAT à une politique alimentaire locale cohérente ne va pas de soi et peut même s’avérer paradoxal. Si le SAT s’affranchit volontiers des périmètres et peut associer différentes échelles, différentes distances, la politique alimentaire territoriale (PAT) s’inscrit bien dans le périmètre de la collectivité qui la développe. Cela révèle deux enjeux pour les collectivités territoriales : d’une part gérer l’éternelle tension entre la logique territoriale des politiques et la logique réticulaire des processus émergents exacerbée par le recours aux outils virtuels ; d’autre part associer nécessairement la politique agricole à la politique alimentaire. L’introduction de l’agriculture et de l’alimentation dans leurs prérogatives est récente et rompt avec la logique sectorielle des politiques agricoles et alimentaires qui a prévalu jusqu’à ce jour en France et en Europe. Manquant d’information, de connaissances, de compétences, de moyens, elles se trouvent souvent dépourvues pour aborder ce nouvel enjeu dont elles perçoivent mal les ressorts.</w:t>
      </w:r>
    </w:p>
    <w:p w:rsidR="005E0425" w:rsidRDefault="005E0425">
      <w:pPr>
        <w:pStyle w:val="Default"/>
        <w:jc w:val="both"/>
        <w:rPr>
          <w:rFonts w:ascii="Times New Roman" w:hAnsi="Times New Roman" w:cs="Times New Roman"/>
          <w:color w:val="00000A"/>
        </w:rPr>
      </w:pPr>
    </w:p>
    <w:p w:rsidR="005E0425" w:rsidRDefault="00631168">
      <w:pPr>
        <w:pStyle w:val="Default"/>
        <w:jc w:val="both"/>
        <w:rPr>
          <w:rFonts w:ascii="Times New Roman" w:hAnsi="Times New Roman"/>
        </w:rPr>
      </w:pPr>
      <w:r>
        <w:rPr>
          <w:rFonts w:ascii="Times New Roman" w:hAnsi="Times New Roman" w:cs="Times New Roman"/>
        </w:rPr>
        <w:t>La thèse constituera l’un des piliers de la réflexion sur la production de politiques publiques alimentaires locales, en considérant les formes de proximités à l’</w:t>
      </w:r>
      <w:r w:rsidR="00457A41">
        <w:rPr>
          <w:rFonts w:ascii="Times New Roman" w:hAnsi="Times New Roman" w:cs="Times New Roman"/>
        </w:rPr>
        <w:t>œuvre</w:t>
      </w:r>
      <w:r>
        <w:rPr>
          <w:rFonts w:ascii="Times New Roman" w:hAnsi="Times New Roman" w:cs="Times New Roman"/>
        </w:rPr>
        <w:t xml:space="preserve"> dans les interactions entre acteurs publics et acteurs privés. Elle devrait permettre en particulier d’apporter un éclairage sur les fondements théoriques d’une articulation entre les différentes formes de </w:t>
      </w:r>
      <w:r>
        <w:rPr>
          <w:rFonts w:ascii="Times New Roman" w:hAnsi="Times New Roman" w:cs="Times New Roman"/>
        </w:rPr>
        <w:lastRenderedPageBreak/>
        <w:t>proximités en jeu (géographique, relationnelle…) et sur le rôle des différents acteurs (collectivités locales, associations, producteurs, consommateurs…), dans la construction d’une dynamique collective. Cet objectif est rendu d’autant plus complexe par la diversité des terrains potentiels de recherche au sein de la Région Nouvelle-Aquitaine, dans la mesure où ces terrains devront porter sur plusieurs des ex-régions constitutives de cette nouvelle région. Au-delà du travail d’identification des politiques existantes dans cette région, l’objet de la thèse sera précisément de développer des méthodes d’investigation (identification des contextes territoriaux retenus, recueil de « dires d’acteurs », analyse du contenu des interactions…) permettant de caractériser à la fois les formes de proximité géographique existantes et les conditions de développement d’une proximité relationnelle entre les acteurs, bases d’une politique publique alimentaire locale. La thèse pourrait également ouvrir une perspective de réflexion à propos de l’existence d’une proximité fondée sur l’attachement des différents acteurs entrant en interaction dans ces circuits alimentaires de proximité à la ressource environnementale territoriale.</w:t>
      </w:r>
    </w:p>
    <w:p w:rsidR="005E0425" w:rsidRDefault="005E0425">
      <w:pPr>
        <w:pStyle w:val="Default"/>
        <w:jc w:val="both"/>
        <w:rPr>
          <w:rFonts w:ascii="Times New Roman" w:hAnsi="Times New Roman" w:cs="Times New Roman"/>
        </w:rPr>
      </w:pPr>
    </w:p>
    <w:p w:rsidR="005E0425" w:rsidRDefault="005E0425">
      <w:pPr>
        <w:pStyle w:val="Default"/>
        <w:jc w:val="both"/>
        <w:rPr>
          <w:rFonts w:ascii="Times New Roman" w:hAnsi="Times New Roman" w:cs="Times New Roman"/>
        </w:rPr>
      </w:pPr>
    </w:p>
    <w:p w:rsidR="005E0425" w:rsidRDefault="00631168">
      <w:pPr>
        <w:pStyle w:val="Default"/>
        <w:jc w:val="both"/>
        <w:rPr>
          <w:rFonts w:ascii="Times New Roman" w:hAnsi="Times New Roman"/>
        </w:rPr>
      </w:pPr>
      <w:r>
        <w:rPr>
          <w:rFonts w:ascii="Times New Roman" w:hAnsi="Times New Roman" w:cs="Times New Roman"/>
        </w:rPr>
        <w:t>La thèse se situera</w:t>
      </w:r>
      <w:r w:rsidR="00457A41">
        <w:rPr>
          <w:rFonts w:ascii="Times New Roman" w:hAnsi="Times New Roman" w:cs="Times New Roman"/>
        </w:rPr>
        <w:t xml:space="preserve"> donc</w:t>
      </w:r>
      <w:r>
        <w:rPr>
          <w:rFonts w:ascii="Times New Roman" w:hAnsi="Times New Roman" w:cs="Times New Roman"/>
        </w:rPr>
        <w:t xml:space="preserve"> à la croisée de trois champs de recherche</w:t>
      </w:r>
      <w:r w:rsidR="00457A41">
        <w:rPr>
          <w:rFonts w:ascii="Times New Roman" w:hAnsi="Times New Roman" w:cs="Times New Roman"/>
        </w:rPr>
        <w:t>, que la thèse devra mobiliser</w:t>
      </w:r>
      <w:r>
        <w:rPr>
          <w:rFonts w:ascii="Times New Roman" w:hAnsi="Times New Roman" w:cs="Times New Roman"/>
        </w:rPr>
        <w:t> :</w:t>
      </w:r>
    </w:p>
    <w:p w:rsidR="005E0425" w:rsidRDefault="00631168">
      <w:pPr>
        <w:pStyle w:val="Default"/>
        <w:numPr>
          <w:ilvl w:val="0"/>
          <w:numId w:val="1"/>
        </w:numPr>
        <w:jc w:val="both"/>
        <w:rPr>
          <w:rFonts w:ascii="Times New Roman" w:hAnsi="Times New Roman"/>
        </w:rPr>
      </w:pPr>
      <w:r>
        <w:rPr>
          <w:rFonts w:ascii="Times New Roman" w:hAnsi="Times New Roman" w:cs="Times New Roman"/>
        </w:rPr>
        <w:t>Le lien entre agriculture-alimentation et proximité</w:t>
      </w:r>
      <w:r w:rsidR="00457A41">
        <w:rPr>
          <w:rFonts w:ascii="Times New Roman" w:hAnsi="Times New Roman" w:cs="Times New Roman"/>
        </w:rPr>
        <w:t>, qui</w:t>
      </w:r>
      <w:r w:rsidR="00376326">
        <w:rPr>
          <w:rFonts w:ascii="Times New Roman" w:hAnsi="Times New Roman" w:cs="Times New Roman"/>
        </w:rPr>
        <w:t xml:space="preserve"> </w:t>
      </w:r>
      <w:r>
        <w:rPr>
          <w:rFonts w:ascii="Times New Roman" w:hAnsi="Times New Roman" w:cs="Times New Roman"/>
        </w:rPr>
        <w:t>a déjà donné lieu à de très nombreux travaux, notamment dans le champ de l’agriculture urbaine</w:t>
      </w:r>
    </w:p>
    <w:p w:rsidR="005E0425" w:rsidRDefault="00631168">
      <w:pPr>
        <w:pStyle w:val="Default"/>
        <w:numPr>
          <w:ilvl w:val="0"/>
          <w:numId w:val="1"/>
        </w:numPr>
        <w:jc w:val="both"/>
        <w:rPr>
          <w:rFonts w:ascii="Times New Roman" w:hAnsi="Times New Roman"/>
        </w:rPr>
      </w:pPr>
      <w:r>
        <w:rPr>
          <w:rFonts w:ascii="Times New Roman" w:hAnsi="Times New Roman" w:cs="Times New Roman"/>
        </w:rPr>
        <w:t>Le champ des études sur la « Proximité, développée depuis les années 1990 en France par l’Ecole de la Proximité (ou Economie de la proximité)</w:t>
      </w:r>
    </w:p>
    <w:p w:rsidR="005E0425" w:rsidRDefault="00631168">
      <w:pPr>
        <w:pStyle w:val="Default"/>
        <w:numPr>
          <w:ilvl w:val="0"/>
          <w:numId w:val="1"/>
        </w:numPr>
        <w:jc w:val="both"/>
        <w:rPr>
          <w:rFonts w:ascii="Times New Roman" w:hAnsi="Times New Roman"/>
        </w:rPr>
      </w:pPr>
      <w:r>
        <w:rPr>
          <w:rFonts w:ascii="Times New Roman" w:hAnsi="Times New Roman" w:cs="Times New Roman"/>
        </w:rPr>
        <w:t>La question de la construction de systèmes alimentaires territoriaux</w:t>
      </w:r>
    </w:p>
    <w:p w:rsidR="005E0425" w:rsidRDefault="005E0425">
      <w:pPr>
        <w:pStyle w:val="Standard"/>
        <w:spacing w:line="240" w:lineRule="auto"/>
        <w:jc w:val="both"/>
        <w:rPr>
          <w:rFonts w:ascii="Times New Roman" w:hAnsi="Times New Roman"/>
          <w:sz w:val="24"/>
          <w:szCs w:val="24"/>
        </w:rPr>
      </w:pPr>
    </w:p>
    <w:p w:rsidR="005E0425" w:rsidRDefault="00631168">
      <w:pPr>
        <w:pStyle w:val="Standard"/>
        <w:spacing w:line="240" w:lineRule="auto"/>
        <w:jc w:val="both"/>
        <w:rPr>
          <w:rFonts w:ascii="Times New Roman" w:hAnsi="Times New Roman"/>
          <w:sz w:val="24"/>
          <w:szCs w:val="24"/>
        </w:rPr>
      </w:pPr>
      <w:r>
        <w:rPr>
          <w:rFonts w:ascii="Times New Roman" w:hAnsi="Times New Roman" w:cs="Times New Roman"/>
          <w:b/>
          <w:bCs/>
          <w:sz w:val="24"/>
          <w:szCs w:val="24"/>
        </w:rPr>
        <w:t>Profils attendus</w:t>
      </w:r>
    </w:p>
    <w:p w:rsidR="000A558E" w:rsidRDefault="00631168">
      <w:pPr>
        <w:pStyle w:val="Standard"/>
        <w:numPr>
          <w:ilvl w:val="0"/>
          <w:numId w:val="1"/>
        </w:numPr>
        <w:spacing w:line="240" w:lineRule="auto"/>
        <w:jc w:val="both"/>
        <w:rPr>
          <w:rFonts w:ascii="Times New Roman" w:hAnsi="Times New Roman"/>
          <w:sz w:val="24"/>
          <w:szCs w:val="24"/>
        </w:rPr>
      </w:pPr>
      <w:r>
        <w:rPr>
          <w:rFonts w:ascii="Times New Roman" w:hAnsi="Times New Roman" w:cs="Times New Roman"/>
          <w:sz w:val="24"/>
          <w:szCs w:val="24"/>
        </w:rPr>
        <w:t>master en géographie ou aménagement ou formations équivalentes.</w:t>
      </w:r>
    </w:p>
    <w:p w:rsidR="000A558E" w:rsidRDefault="00631168">
      <w:pPr>
        <w:pStyle w:val="Standard"/>
        <w:numPr>
          <w:ilvl w:val="0"/>
          <w:numId w:val="1"/>
        </w:numPr>
        <w:spacing w:line="240" w:lineRule="auto"/>
        <w:jc w:val="both"/>
        <w:rPr>
          <w:rFonts w:ascii="Times New Roman" w:hAnsi="Times New Roman"/>
          <w:sz w:val="24"/>
          <w:szCs w:val="24"/>
        </w:rPr>
      </w:pPr>
      <w:r>
        <w:rPr>
          <w:rFonts w:ascii="Times New Roman" w:hAnsi="Times New Roman" w:cs="Times New Roman"/>
          <w:sz w:val="24"/>
          <w:szCs w:val="24"/>
        </w:rPr>
        <w:t>expérience dans les enquêtes de terrain (récolte et analyse de données).</w:t>
      </w:r>
    </w:p>
    <w:p w:rsidR="000A558E" w:rsidRDefault="00631168">
      <w:pPr>
        <w:pStyle w:val="Standard"/>
        <w:numPr>
          <w:ilvl w:val="0"/>
          <w:numId w:val="1"/>
        </w:numPr>
        <w:spacing w:line="240" w:lineRule="auto"/>
        <w:jc w:val="both"/>
        <w:rPr>
          <w:rFonts w:ascii="Times New Roman" w:hAnsi="Times New Roman"/>
          <w:sz w:val="24"/>
          <w:szCs w:val="24"/>
        </w:rPr>
      </w:pPr>
      <w:r>
        <w:rPr>
          <w:rFonts w:ascii="Times New Roman" w:hAnsi="Times New Roman" w:cs="Times New Roman"/>
          <w:sz w:val="24"/>
          <w:szCs w:val="24"/>
        </w:rPr>
        <w:t>aptitude à travailler en équipe et avec des partenaires non universitaires.</w:t>
      </w:r>
    </w:p>
    <w:p w:rsidR="005E0425" w:rsidRDefault="005E0425">
      <w:pPr>
        <w:pStyle w:val="Standard"/>
        <w:spacing w:line="240" w:lineRule="auto"/>
        <w:jc w:val="both"/>
        <w:rPr>
          <w:rFonts w:ascii="Times New Roman" w:hAnsi="Times New Roman"/>
          <w:sz w:val="24"/>
          <w:szCs w:val="24"/>
        </w:rPr>
      </w:pPr>
    </w:p>
    <w:p w:rsidR="005E0425" w:rsidRDefault="00631168">
      <w:pPr>
        <w:pStyle w:val="Standard"/>
        <w:spacing w:line="240" w:lineRule="auto"/>
        <w:jc w:val="both"/>
        <w:rPr>
          <w:rFonts w:ascii="Times New Roman" w:hAnsi="Times New Roman"/>
          <w:sz w:val="24"/>
          <w:szCs w:val="24"/>
        </w:rPr>
      </w:pPr>
      <w:r>
        <w:rPr>
          <w:rFonts w:ascii="Times New Roman" w:hAnsi="Times New Roman" w:cs="Times New Roman"/>
          <w:b/>
          <w:bCs/>
          <w:sz w:val="24"/>
          <w:szCs w:val="24"/>
        </w:rPr>
        <w:t>Modalités de candidature</w:t>
      </w:r>
    </w:p>
    <w:p w:rsidR="005E0425" w:rsidRDefault="00631168">
      <w:pPr>
        <w:pStyle w:val="Standard"/>
        <w:spacing w:line="240" w:lineRule="auto"/>
        <w:jc w:val="both"/>
        <w:rPr>
          <w:rFonts w:ascii="Times New Roman" w:hAnsi="Times New Roman"/>
          <w:sz w:val="24"/>
          <w:szCs w:val="24"/>
        </w:rPr>
      </w:pPr>
      <w:r>
        <w:rPr>
          <w:rFonts w:ascii="Times New Roman" w:hAnsi="Times New Roman"/>
          <w:sz w:val="24"/>
          <w:szCs w:val="24"/>
        </w:rPr>
        <w:t xml:space="preserve">Les </w:t>
      </w:r>
      <w:proofErr w:type="spellStart"/>
      <w:r>
        <w:rPr>
          <w:rFonts w:ascii="Times New Roman" w:hAnsi="Times New Roman"/>
          <w:sz w:val="24"/>
          <w:szCs w:val="24"/>
        </w:rPr>
        <w:t>candidat.e.s</w:t>
      </w:r>
      <w:proofErr w:type="spellEnd"/>
      <w:r>
        <w:rPr>
          <w:rFonts w:ascii="Times New Roman" w:hAnsi="Times New Roman"/>
          <w:sz w:val="24"/>
          <w:szCs w:val="24"/>
        </w:rPr>
        <w:t xml:space="preserve"> doivent faire parvenir par courrier électronique, </w:t>
      </w:r>
      <w:r>
        <w:rPr>
          <w:rFonts w:ascii="Times New Roman" w:hAnsi="Times New Roman"/>
          <w:b/>
          <w:bCs/>
          <w:sz w:val="24"/>
          <w:szCs w:val="24"/>
        </w:rPr>
        <w:t xml:space="preserve">avant le </w:t>
      </w:r>
      <w:r w:rsidR="007E6288">
        <w:rPr>
          <w:rFonts w:ascii="Times New Roman" w:hAnsi="Times New Roman"/>
          <w:b/>
          <w:bCs/>
          <w:sz w:val="24"/>
          <w:szCs w:val="24"/>
        </w:rPr>
        <w:t>15</w:t>
      </w:r>
      <w:r>
        <w:rPr>
          <w:rFonts w:ascii="Times New Roman" w:hAnsi="Times New Roman"/>
          <w:b/>
          <w:bCs/>
          <w:sz w:val="24"/>
          <w:szCs w:val="24"/>
        </w:rPr>
        <w:t xml:space="preserve"> septembre</w:t>
      </w:r>
      <w:r>
        <w:rPr>
          <w:rFonts w:ascii="Times New Roman" w:hAnsi="Times New Roman"/>
          <w:sz w:val="24"/>
          <w:szCs w:val="24"/>
        </w:rPr>
        <w:t xml:space="preserve"> à minuit, un dossier comportant les pièces suivantes :</w:t>
      </w:r>
      <w:bookmarkStart w:id="0" w:name="_GoBack"/>
      <w:bookmarkEnd w:id="0"/>
    </w:p>
    <w:p w:rsidR="005E0425" w:rsidRDefault="00631168">
      <w:pPr>
        <w:pStyle w:val="Standard"/>
        <w:spacing w:line="240" w:lineRule="auto"/>
        <w:jc w:val="both"/>
        <w:rPr>
          <w:rFonts w:ascii="Times New Roman" w:hAnsi="Times New Roman"/>
          <w:sz w:val="24"/>
          <w:szCs w:val="24"/>
        </w:rPr>
      </w:pPr>
      <w:r>
        <w:rPr>
          <w:rFonts w:ascii="Times New Roman" w:hAnsi="Times New Roman"/>
          <w:sz w:val="24"/>
          <w:szCs w:val="24"/>
        </w:rPr>
        <w:t>- une lettre de motivation</w:t>
      </w:r>
    </w:p>
    <w:p w:rsidR="005E0425" w:rsidRDefault="00631168">
      <w:pPr>
        <w:pStyle w:val="Standard"/>
        <w:spacing w:line="240" w:lineRule="auto"/>
        <w:jc w:val="both"/>
        <w:rPr>
          <w:rFonts w:ascii="Times New Roman" w:hAnsi="Times New Roman"/>
          <w:sz w:val="24"/>
          <w:szCs w:val="24"/>
        </w:rPr>
      </w:pPr>
      <w:r>
        <w:rPr>
          <w:rFonts w:ascii="Times New Roman" w:hAnsi="Times New Roman"/>
          <w:sz w:val="24"/>
          <w:szCs w:val="24"/>
        </w:rPr>
        <w:t>- un projet de thèse synthétique de 7500 signes maximum (hors bibliographie)</w:t>
      </w:r>
    </w:p>
    <w:p w:rsidR="005E0425" w:rsidRDefault="00631168">
      <w:pPr>
        <w:pStyle w:val="Standard"/>
        <w:spacing w:line="240" w:lineRule="auto"/>
        <w:jc w:val="both"/>
        <w:rPr>
          <w:rFonts w:ascii="Times New Roman" w:hAnsi="Times New Roman"/>
          <w:sz w:val="24"/>
          <w:szCs w:val="24"/>
        </w:rPr>
      </w:pPr>
      <w:r>
        <w:rPr>
          <w:rFonts w:ascii="Times New Roman" w:hAnsi="Times New Roman"/>
          <w:sz w:val="24"/>
          <w:szCs w:val="24"/>
        </w:rPr>
        <w:t>- un curriculum vitae</w:t>
      </w:r>
    </w:p>
    <w:p w:rsidR="005E0425" w:rsidRDefault="00631168">
      <w:pPr>
        <w:pStyle w:val="Standard"/>
        <w:spacing w:line="240" w:lineRule="auto"/>
        <w:jc w:val="both"/>
      </w:pPr>
      <w:r>
        <w:rPr>
          <w:rFonts w:ascii="Times New Roman" w:hAnsi="Times New Roman"/>
          <w:sz w:val="24"/>
          <w:szCs w:val="24"/>
        </w:rPr>
        <w:t xml:space="preserve">Le dossier devra être transmis par courriel à Christophe </w:t>
      </w:r>
      <w:proofErr w:type="spellStart"/>
      <w:r>
        <w:rPr>
          <w:rFonts w:ascii="Times New Roman" w:hAnsi="Times New Roman"/>
          <w:sz w:val="24"/>
          <w:szCs w:val="24"/>
        </w:rPr>
        <w:t>Beaurain</w:t>
      </w:r>
      <w:proofErr w:type="spellEnd"/>
      <w:r>
        <w:rPr>
          <w:rFonts w:ascii="Times New Roman" w:hAnsi="Times New Roman"/>
          <w:sz w:val="24"/>
          <w:szCs w:val="24"/>
        </w:rPr>
        <w:t xml:space="preserve">  (</w:t>
      </w:r>
      <w:hyperlink r:id="rId8" w:history="1">
        <w:r>
          <w:rPr>
            <w:rFonts w:ascii="Times New Roman" w:hAnsi="Times New Roman"/>
            <w:sz w:val="24"/>
            <w:szCs w:val="24"/>
          </w:rPr>
          <w:t>christophe.beaurain@unilim.fr</w:t>
        </w:r>
      </w:hyperlink>
      <w:r>
        <w:rPr>
          <w:rFonts w:ascii="Times New Roman" w:hAnsi="Times New Roman"/>
          <w:sz w:val="24"/>
          <w:szCs w:val="24"/>
        </w:rPr>
        <w:t xml:space="preserve">) au format </w:t>
      </w:r>
      <w:proofErr w:type="spellStart"/>
      <w:r>
        <w:rPr>
          <w:rFonts w:ascii="Times New Roman" w:hAnsi="Times New Roman"/>
          <w:sz w:val="24"/>
          <w:szCs w:val="24"/>
        </w:rPr>
        <w:t>pdf</w:t>
      </w:r>
      <w:proofErr w:type="spellEnd"/>
      <w:r>
        <w:rPr>
          <w:rFonts w:ascii="Times New Roman" w:hAnsi="Times New Roman"/>
          <w:sz w:val="24"/>
          <w:szCs w:val="24"/>
        </w:rPr>
        <w:t>.</w:t>
      </w:r>
    </w:p>
    <w:p w:rsidR="005E0425" w:rsidRDefault="00631168">
      <w:pPr>
        <w:pStyle w:val="Standard"/>
        <w:spacing w:line="240" w:lineRule="auto"/>
        <w:jc w:val="both"/>
        <w:rPr>
          <w:rFonts w:ascii="Times New Roman" w:hAnsi="Times New Roman"/>
          <w:sz w:val="24"/>
          <w:szCs w:val="24"/>
        </w:rPr>
      </w:pPr>
      <w:r>
        <w:rPr>
          <w:rFonts w:ascii="Times New Roman" w:hAnsi="Times New Roman"/>
          <w:sz w:val="24"/>
          <w:szCs w:val="24"/>
        </w:rPr>
        <w:t xml:space="preserve">Des auditions </w:t>
      </w:r>
      <w:r w:rsidR="00457A41">
        <w:rPr>
          <w:rFonts w:ascii="Times New Roman" w:hAnsi="Times New Roman"/>
          <w:sz w:val="24"/>
          <w:szCs w:val="24"/>
        </w:rPr>
        <w:t xml:space="preserve">seront </w:t>
      </w:r>
      <w:r>
        <w:rPr>
          <w:rFonts w:ascii="Times New Roman" w:hAnsi="Times New Roman"/>
          <w:sz w:val="24"/>
          <w:szCs w:val="24"/>
        </w:rPr>
        <w:t>organisées dans le courant du mois de septembre après la sélection sur dossier.</w:t>
      </w:r>
    </w:p>
    <w:p w:rsidR="005E0425" w:rsidRDefault="00631168" w:rsidP="00F179CC">
      <w:pPr>
        <w:pStyle w:val="Standard"/>
        <w:spacing w:line="240" w:lineRule="auto"/>
        <w:jc w:val="both"/>
      </w:pPr>
      <w:r>
        <w:rPr>
          <w:rFonts w:ascii="Times New Roman" w:hAnsi="Times New Roman"/>
          <w:sz w:val="24"/>
          <w:szCs w:val="24"/>
        </w:rPr>
        <w:t>Les décisions finales seront communiquées dans le courant du mois d’octobre.</w:t>
      </w:r>
    </w:p>
    <w:sectPr w:rsidR="005E0425" w:rsidSect="005E0425">
      <w:pgSz w:w="11906" w:h="16838"/>
      <w:pgMar w:top="1417" w:right="1417" w:bottom="1417" w:left="1417"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C2F04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95C" w:rsidRDefault="00A3695C" w:rsidP="005E0425">
      <w:pPr>
        <w:spacing w:after="0" w:line="240" w:lineRule="auto"/>
      </w:pPr>
      <w:r>
        <w:separator/>
      </w:r>
    </w:p>
  </w:endnote>
  <w:endnote w:type="continuationSeparator" w:id="0">
    <w:p w:rsidR="00A3695C" w:rsidRDefault="00A3695C" w:rsidP="005E04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95C" w:rsidRDefault="00A3695C" w:rsidP="005E0425">
      <w:pPr>
        <w:spacing w:after="0" w:line="240" w:lineRule="auto"/>
      </w:pPr>
      <w:r w:rsidRPr="005E0425">
        <w:rPr>
          <w:color w:val="000000"/>
        </w:rPr>
        <w:separator/>
      </w:r>
    </w:p>
  </w:footnote>
  <w:footnote w:type="continuationSeparator" w:id="0">
    <w:p w:rsidR="00A3695C" w:rsidRDefault="00A3695C" w:rsidP="005E04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A1D5E"/>
    <w:multiLevelType w:val="multilevel"/>
    <w:tmpl w:val="AFB8A7F0"/>
    <w:styleLink w:val="WWNum1"/>
    <w:lvl w:ilvl="0">
      <w:numFmt w:val="bullet"/>
      <w:lvlText w:val="-"/>
      <w:lvlJc w:val="left"/>
      <w:rPr>
        <w:rFonts w:ascii="Arial" w:hAnsi="Arial"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0"/>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autoHyphenation/>
  <w:hyphenationZone w:val="425"/>
  <w:characterSpacingControl w:val="doNotCompress"/>
  <w:footnotePr>
    <w:footnote w:id="-1"/>
    <w:footnote w:id="0"/>
  </w:footnotePr>
  <w:endnotePr>
    <w:endnote w:id="-1"/>
    <w:endnote w:id="0"/>
  </w:endnotePr>
  <w:compat>
    <w:useFELayout/>
  </w:compat>
  <w:rsids>
    <w:rsidRoot w:val="005E0425"/>
    <w:rsid w:val="000A558E"/>
    <w:rsid w:val="000D55FB"/>
    <w:rsid w:val="0013618E"/>
    <w:rsid w:val="002F6201"/>
    <w:rsid w:val="00376326"/>
    <w:rsid w:val="0037725F"/>
    <w:rsid w:val="00457A41"/>
    <w:rsid w:val="00586542"/>
    <w:rsid w:val="005B6D9A"/>
    <w:rsid w:val="005E0425"/>
    <w:rsid w:val="005E4307"/>
    <w:rsid w:val="00631168"/>
    <w:rsid w:val="006D41AF"/>
    <w:rsid w:val="007818AF"/>
    <w:rsid w:val="007E6288"/>
    <w:rsid w:val="008B12AB"/>
    <w:rsid w:val="008E2522"/>
    <w:rsid w:val="00926B51"/>
    <w:rsid w:val="00927268"/>
    <w:rsid w:val="009348DC"/>
    <w:rsid w:val="009F05FC"/>
    <w:rsid w:val="00A3695C"/>
    <w:rsid w:val="00A94BEB"/>
    <w:rsid w:val="00B857C1"/>
    <w:rsid w:val="00C666A4"/>
    <w:rsid w:val="00F179C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Calibri"/>
        <w:kern w:val="3"/>
        <w:sz w:val="22"/>
        <w:szCs w:val="22"/>
        <w:lang w:val="fr-FR"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6A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5E0425"/>
    <w:pPr>
      <w:widowControl/>
    </w:pPr>
  </w:style>
  <w:style w:type="paragraph" w:customStyle="1" w:styleId="Heading">
    <w:name w:val="Heading"/>
    <w:basedOn w:val="Standard"/>
    <w:next w:val="Textbody"/>
    <w:rsid w:val="005E0425"/>
    <w:pPr>
      <w:keepNext/>
      <w:spacing w:before="240" w:after="120"/>
    </w:pPr>
    <w:rPr>
      <w:rFonts w:ascii="Arial" w:eastAsia="Microsoft YaHei" w:hAnsi="Arial" w:cs="Mangal"/>
      <w:sz w:val="28"/>
      <w:szCs w:val="28"/>
    </w:rPr>
  </w:style>
  <w:style w:type="paragraph" w:customStyle="1" w:styleId="Textbody">
    <w:name w:val="Text body"/>
    <w:basedOn w:val="Standard"/>
    <w:rsid w:val="005E0425"/>
    <w:pPr>
      <w:spacing w:after="120"/>
    </w:pPr>
  </w:style>
  <w:style w:type="paragraph" w:styleId="Liste">
    <w:name w:val="List"/>
    <w:basedOn w:val="Textbody"/>
    <w:rsid w:val="005E0425"/>
    <w:rPr>
      <w:rFonts w:cs="Mangal"/>
      <w:sz w:val="24"/>
    </w:rPr>
  </w:style>
  <w:style w:type="paragraph" w:customStyle="1" w:styleId="Lgende1">
    <w:name w:val="Légende1"/>
    <w:basedOn w:val="Standard"/>
    <w:rsid w:val="005E0425"/>
    <w:pPr>
      <w:suppressLineNumbers/>
      <w:spacing w:before="120" w:after="120"/>
    </w:pPr>
    <w:rPr>
      <w:rFonts w:cs="Mangal"/>
      <w:i/>
      <w:iCs/>
      <w:sz w:val="24"/>
      <w:szCs w:val="24"/>
    </w:rPr>
  </w:style>
  <w:style w:type="paragraph" w:customStyle="1" w:styleId="Index">
    <w:name w:val="Index"/>
    <w:basedOn w:val="Standard"/>
    <w:rsid w:val="005E0425"/>
    <w:pPr>
      <w:suppressLineNumbers/>
    </w:pPr>
    <w:rPr>
      <w:rFonts w:cs="Mangal"/>
      <w:sz w:val="24"/>
    </w:rPr>
  </w:style>
  <w:style w:type="paragraph" w:customStyle="1" w:styleId="Default">
    <w:name w:val="Default"/>
    <w:rsid w:val="005E0425"/>
    <w:pPr>
      <w:widowControl/>
      <w:spacing w:after="0" w:line="240" w:lineRule="auto"/>
    </w:pPr>
    <w:rPr>
      <w:rFonts w:ascii="Arial" w:hAnsi="Arial" w:cs="Arial"/>
      <w:color w:val="000000"/>
      <w:sz w:val="24"/>
      <w:szCs w:val="24"/>
    </w:rPr>
  </w:style>
  <w:style w:type="paragraph" w:customStyle="1" w:styleId="Quotations">
    <w:name w:val="Quotations"/>
    <w:basedOn w:val="Standard"/>
    <w:rsid w:val="005E0425"/>
  </w:style>
  <w:style w:type="paragraph" w:styleId="Titre">
    <w:name w:val="Title"/>
    <w:basedOn w:val="Heading"/>
    <w:rsid w:val="005E0425"/>
  </w:style>
  <w:style w:type="paragraph" w:styleId="Sous-titre">
    <w:name w:val="Subtitle"/>
    <w:basedOn w:val="Heading"/>
    <w:rsid w:val="005E0425"/>
  </w:style>
  <w:style w:type="paragraph" w:customStyle="1" w:styleId="Titre11">
    <w:name w:val="Titre 11"/>
    <w:basedOn w:val="Heading"/>
    <w:rsid w:val="005E0425"/>
  </w:style>
  <w:style w:type="paragraph" w:customStyle="1" w:styleId="Titre21">
    <w:name w:val="Titre 21"/>
    <w:basedOn w:val="Heading"/>
    <w:rsid w:val="005E0425"/>
  </w:style>
  <w:style w:type="paragraph" w:customStyle="1" w:styleId="Titre31">
    <w:name w:val="Titre 31"/>
    <w:basedOn w:val="Heading"/>
    <w:rsid w:val="005E0425"/>
  </w:style>
  <w:style w:type="character" w:customStyle="1" w:styleId="Internetlink">
    <w:name w:val="Internet link"/>
    <w:basedOn w:val="Policepardfaut"/>
    <w:rsid w:val="005E0425"/>
    <w:rPr>
      <w:color w:val="0000FF"/>
      <w:u w:val="single"/>
    </w:rPr>
  </w:style>
  <w:style w:type="character" w:customStyle="1" w:styleId="ListLabel1">
    <w:name w:val="ListLabel 1"/>
    <w:rsid w:val="005E0425"/>
    <w:rPr>
      <w:rFonts w:cs="Calibri"/>
    </w:rPr>
  </w:style>
  <w:style w:type="character" w:customStyle="1" w:styleId="ListLabel2">
    <w:name w:val="ListLabel 2"/>
    <w:rsid w:val="005E0425"/>
    <w:rPr>
      <w:rFonts w:cs="Courier New"/>
    </w:rPr>
  </w:style>
  <w:style w:type="numbering" w:customStyle="1" w:styleId="WWNum1">
    <w:name w:val="WWNum1"/>
    <w:basedOn w:val="Aucuneliste"/>
    <w:rsid w:val="005E0425"/>
    <w:pPr>
      <w:numPr>
        <w:numId w:val="1"/>
      </w:numPr>
    </w:pPr>
  </w:style>
  <w:style w:type="paragraph" w:styleId="Textedebulles">
    <w:name w:val="Balloon Text"/>
    <w:basedOn w:val="Normal"/>
    <w:link w:val="TextedebullesCar"/>
    <w:uiPriority w:val="99"/>
    <w:semiHidden/>
    <w:unhideWhenUsed/>
    <w:rsid w:val="00A94B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94BEB"/>
    <w:rPr>
      <w:rFonts w:ascii="Tahoma" w:hAnsi="Tahoma" w:cs="Tahoma"/>
      <w:sz w:val="16"/>
      <w:szCs w:val="16"/>
    </w:rPr>
  </w:style>
  <w:style w:type="character" w:styleId="Marquedecommentaire">
    <w:name w:val="annotation reference"/>
    <w:basedOn w:val="Policepardfaut"/>
    <w:uiPriority w:val="99"/>
    <w:semiHidden/>
    <w:unhideWhenUsed/>
    <w:rsid w:val="00457A41"/>
    <w:rPr>
      <w:sz w:val="16"/>
      <w:szCs w:val="16"/>
    </w:rPr>
  </w:style>
  <w:style w:type="paragraph" w:styleId="Commentaire">
    <w:name w:val="annotation text"/>
    <w:basedOn w:val="Normal"/>
    <w:link w:val="CommentaireCar"/>
    <w:uiPriority w:val="99"/>
    <w:semiHidden/>
    <w:unhideWhenUsed/>
    <w:rsid w:val="00457A41"/>
    <w:pPr>
      <w:spacing w:line="240" w:lineRule="auto"/>
    </w:pPr>
    <w:rPr>
      <w:sz w:val="20"/>
      <w:szCs w:val="20"/>
    </w:rPr>
  </w:style>
  <w:style w:type="character" w:customStyle="1" w:styleId="CommentaireCar">
    <w:name w:val="Commentaire Car"/>
    <w:basedOn w:val="Policepardfaut"/>
    <w:link w:val="Commentaire"/>
    <w:uiPriority w:val="99"/>
    <w:semiHidden/>
    <w:rsid w:val="00457A41"/>
    <w:rPr>
      <w:sz w:val="20"/>
      <w:szCs w:val="20"/>
    </w:rPr>
  </w:style>
  <w:style w:type="paragraph" w:styleId="Objetducommentaire">
    <w:name w:val="annotation subject"/>
    <w:basedOn w:val="Commentaire"/>
    <w:next w:val="Commentaire"/>
    <w:link w:val="ObjetducommentaireCar"/>
    <w:uiPriority w:val="99"/>
    <w:semiHidden/>
    <w:unhideWhenUsed/>
    <w:rsid w:val="00457A41"/>
    <w:rPr>
      <w:b/>
      <w:bCs/>
    </w:rPr>
  </w:style>
  <w:style w:type="character" w:customStyle="1" w:styleId="ObjetducommentaireCar">
    <w:name w:val="Objet du commentaire Car"/>
    <w:basedOn w:val="CommentaireCar"/>
    <w:link w:val="Objetducommentaire"/>
    <w:uiPriority w:val="99"/>
    <w:semiHidden/>
    <w:rsid w:val="00457A41"/>
    <w:rPr>
      <w:b/>
      <w:bCs/>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christophe.beaurain@unilim.fr"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94704-A83D-4BB0-9045-6CAFCEF1D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1472</Words>
  <Characters>8100</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beaurain</dc:creator>
  <cp:lastModifiedBy>beaurain</cp:lastModifiedBy>
  <cp:revision>5</cp:revision>
  <dcterms:created xsi:type="dcterms:W3CDTF">2017-07-18T09:41:00Z</dcterms:created>
  <dcterms:modified xsi:type="dcterms:W3CDTF">2017-07-19T08:17:00Z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