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79" w:rsidRPr="00AD0D79" w:rsidRDefault="00AD0D79" w:rsidP="00085046">
      <w:pPr>
        <w:jc w:val="center"/>
        <w:rPr>
          <w:rFonts w:ascii="Palatino Linotype" w:hAnsi="Palatino Linotype"/>
          <w:b/>
          <w:u w:val="single"/>
        </w:rPr>
      </w:pPr>
      <w:r w:rsidRPr="00AD0D79">
        <w:rPr>
          <w:rFonts w:ascii="Palatino Linotype" w:hAnsi="Palatino Linotype"/>
          <w:b/>
          <w:u w:val="single"/>
        </w:rPr>
        <w:t xml:space="preserve">Annonce de colloque (Dijon, </w:t>
      </w:r>
      <w:r w:rsidR="005222B2">
        <w:rPr>
          <w:rFonts w:ascii="Palatino Linotype" w:hAnsi="Palatino Linotype"/>
          <w:b/>
          <w:u w:val="single"/>
        </w:rPr>
        <w:t xml:space="preserve">20-21 novembre </w:t>
      </w:r>
      <w:r w:rsidRPr="00AD0D79">
        <w:rPr>
          <w:rFonts w:ascii="Palatino Linotype" w:hAnsi="Palatino Linotype"/>
          <w:b/>
          <w:u w:val="single"/>
        </w:rPr>
        <w:t>2013)</w:t>
      </w:r>
    </w:p>
    <w:p w:rsidR="00085046" w:rsidRPr="00C849AF" w:rsidRDefault="00085046" w:rsidP="00085046">
      <w:pPr>
        <w:jc w:val="center"/>
        <w:rPr>
          <w:rFonts w:ascii="Palatino Linotype" w:hAnsi="Palatino Linotype"/>
          <w:b/>
        </w:rPr>
      </w:pPr>
      <w:r w:rsidRPr="00C849AF">
        <w:rPr>
          <w:rFonts w:ascii="Palatino Linotype" w:hAnsi="Palatino Linotype"/>
          <w:b/>
        </w:rPr>
        <w:t>Nouvelles formes d’agriculture : pratiques ordinaires, débats publics et critique sociale</w:t>
      </w:r>
    </w:p>
    <w:p w:rsidR="00085046" w:rsidRPr="00E10021" w:rsidRDefault="00AD0D79" w:rsidP="00AD0D79">
      <w:pPr>
        <w:jc w:val="center"/>
        <w:rPr>
          <w:rFonts w:ascii="Palatino Linotype" w:hAnsi="Palatino Linotype"/>
          <w:b/>
          <w:i/>
        </w:rPr>
      </w:pPr>
      <w:r>
        <w:rPr>
          <w:rFonts w:ascii="Palatino Linotype" w:hAnsi="Palatino Linotype"/>
          <w:b/>
          <w:i/>
        </w:rPr>
        <w:t>Appel à communication</w:t>
      </w:r>
    </w:p>
    <w:p w:rsidR="00085046" w:rsidRDefault="00085046" w:rsidP="00085046">
      <w:pPr>
        <w:jc w:val="both"/>
        <w:rPr>
          <w:rFonts w:ascii="Palatino Linotype" w:hAnsi="Palatino Linotype"/>
        </w:rPr>
      </w:pPr>
      <w:r>
        <w:rPr>
          <w:rFonts w:ascii="Palatino Linotype" w:hAnsi="Palatino Linotype"/>
        </w:rPr>
        <w:t xml:space="preserve">Depuis les années 1990, avec l’apparition de mouvements sociaux (tels que la </w:t>
      </w:r>
      <w:proofErr w:type="spellStart"/>
      <w:r>
        <w:rPr>
          <w:rFonts w:ascii="Palatino Linotype" w:hAnsi="Palatino Linotype"/>
        </w:rPr>
        <w:t>Vía</w:t>
      </w:r>
      <w:proofErr w:type="spellEnd"/>
      <w:r>
        <w:rPr>
          <w:rFonts w:ascii="Palatino Linotype" w:hAnsi="Palatino Linotype"/>
        </w:rPr>
        <w:t xml:space="preserve"> </w:t>
      </w:r>
      <w:proofErr w:type="spellStart"/>
      <w:r>
        <w:rPr>
          <w:rFonts w:ascii="Palatino Linotype" w:hAnsi="Palatino Linotype"/>
        </w:rPr>
        <w:t>Campesina</w:t>
      </w:r>
      <w:proofErr w:type="spellEnd"/>
      <w:r>
        <w:rPr>
          <w:rFonts w:ascii="Palatino Linotype" w:hAnsi="Palatino Linotype"/>
        </w:rPr>
        <w:t xml:space="preserve"> ou le Mouvement des travailleurs ruraux sans-terre au Brésil) et le déploiement de dispositifs d’action publique (notamment, en France, autour de la multifonctionnalité agricole puis du Grenelle de l’environnement), l’agriculture est mise en cause à la fois dans ses rapports à l’environnement (avec la demande de modèles d’agriculture plus durables) et dans ses rapports à la justice sociale (par exemple autour de questions relatives au travail salarié ou aux inégalités alimentaires). Ce colloque entend </w:t>
      </w:r>
      <w:r w:rsidRPr="005826F2">
        <w:rPr>
          <w:rFonts w:ascii="Palatino Linotype" w:hAnsi="Palatino Linotype"/>
        </w:rPr>
        <w:t>rouvrir un espace de réflexion sur la dimension subversive</w:t>
      </w:r>
      <w:r>
        <w:rPr>
          <w:rFonts w:ascii="Palatino Linotype" w:hAnsi="Palatino Linotype"/>
        </w:rPr>
        <w:t xml:space="preserve"> des débats sur l’agriculture, en interrogeant les « nouvelles formes d’agriculture » (agriculture durable, agro-écologie, etc.) à partir de leurs dimensions morales et politiques : de quelle manière les acteurs qui portent de nouvelles pratiques et de nouveaux modèles d’agriculture contribuent-ils à </w:t>
      </w:r>
      <w:r w:rsidRPr="00101946">
        <w:rPr>
          <w:rFonts w:ascii="Palatino Linotype" w:hAnsi="Palatino Linotype"/>
        </w:rPr>
        <w:t>la construction d</w:t>
      </w:r>
      <w:r>
        <w:rPr>
          <w:rFonts w:ascii="Palatino Linotype" w:hAnsi="Palatino Linotype"/>
        </w:rPr>
        <w:t>e nouvelles formes de critique sociale ?</w:t>
      </w:r>
    </w:p>
    <w:p w:rsidR="00085046" w:rsidRDefault="00085046" w:rsidP="00085046">
      <w:pPr>
        <w:jc w:val="both"/>
        <w:rPr>
          <w:rFonts w:ascii="Palatino Linotype" w:hAnsi="Palatino Linotype"/>
        </w:rPr>
      </w:pPr>
      <w:r>
        <w:rPr>
          <w:rFonts w:ascii="Palatino Linotype" w:hAnsi="Palatino Linotype"/>
        </w:rPr>
        <w:t>L’hypothèse de départ de cette interrogation est que la place de l’agriculture dans la société, parce qu’elle interroge à la fois des formes relatives au bien commun (la préservation de l’environnement, la traçabilité, etc.) et des revendication</w:t>
      </w:r>
      <w:r w:rsidR="00AD0D79">
        <w:rPr>
          <w:rFonts w:ascii="Palatino Linotype" w:hAnsi="Palatino Linotype"/>
        </w:rPr>
        <w:t>s</w:t>
      </w:r>
      <w:r>
        <w:rPr>
          <w:rFonts w:ascii="Palatino Linotype" w:hAnsi="Palatino Linotype"/>
        </w:rPr>
        <w:t xml:space="preserve"> à l’épanouissement individuel (le </w:t>
      </w:r>
      <w:r w:rsidRPr="00B07383">
        <w:rPr>
          <w:rFonts w:ascii="Palatino Linotype" w:hAnsi="Palatino Linotype"/>
          <w:i/>
        </w:rPr>
        <w:t>care</w:t>
      </w:r>
      <w:r>
        <w:rPr>
          <w:rFonts w:ascii="Palatino Linotype" w:hAnsi="Palatino Linotype"/>
        </w:rPr>
        <w:t xml:space="preserve">, l’accomplissement dans le travail, la consommation de bons produits, etc.) représente potentiellement un lieu majeur de recomposition de la critique contemporaine. </w:t>
      </w:r>
      <w:r w:rsidRPr="00326DC2">
        <w:rPr>
          <w:rFonts w:ascii="Palatino Linotype" w:hAnsi="Palatino Linotype"/>
        </w:rPr>
        <w:t xml:space="preserve">A partir d’études de cas ou de controverses, </w:t>
      </w:r>
      <w:r>
        <w:rPr>
          <w:rFonts w:ascii="Palatino Linotype" w:hAnsi="Palatino Linotype"/>
        </w:rPr>
        <w:t xml:space="preserve">il s’agira donc ici d’examiner avec un regard sociologique, ethnographique ou historique les diverses manières dont les pratiques des acteurs et les aspirations à une </w:t>
      </w:r>
      <w:r w:rsidRPr="005826F2">
        <w:rPr>
          <w:rFonts w:ascii="Palatino Linotype" w:hAnsi="Palatino Linotype"/>
        </w:rPr>
        <w:t>agriculture moins ind</w:t>
      </w:r>
      <w:r>
        <w:rPr>
          <w:rFonts w:ascii="Palatino Linotype" w:hAnsi="Palatino Linotype"/>
        </w:rPr>
        <w:t>ustrialisée, moins standardisée ou</w:t>
      </w:r>
      <w:r w:rsidRPr="005826F2">
        <w:rPr>
          <w:rFonts w:ascii="Palatino Linotype" w:hAnsi="Palatino Linotype"/>
        </w:rPr>
        <w:t xml:space="preserve"> plus ancrée dans les territoires,</w:t>
      </w:r>
      <w:r>
        <w:rPr>
          <w:rFonts w:ascii="Palatino Linotype" w:hAnsi="Palatino Linotype"/>
        </w:rPr>
        <w:t xml:space="preserve"> font l’objet de processus de politisation</w:t>
      </w:r>
      <w:r w:rsidR="00721938">
        <w:rPr>
          <w:rFonts w:ascii="Palatino Linotype" w:hAnsi="Palatino Linotype"/>
        </w:rPr>
        <w:t xml:space="preserve"> – ma</w:t>
      </w:r>
      <w:r>
        <w:rPr>
          <w:rFonts w:ascii="Palatino Linotype" w:hAnsi="Palatino Linotype"/>
        </w:rPr>
        <w:t xml:space="preserve">is aussi </w:t>
      </w:r>
      <w:r w:rsidR="00217BC3">
        <w:rPr>
          <w:rFonts w:ascii="Palatino Linotype" w:hAnsi="Palatino Linotype"/>
        </w:rPr>
        <w:t>de dépolitisation (« </w:t>
      </w:r>
      <w:proofErr w:type="spellStart"/>
      <w:r w:rsidR="00217BC3">
        <w:rPr>
          <w:rFonts w:ascii="Palatino Linotype" w:hAnsi="Palatino Linotype"/>
        </w:rPr>
        <w:t>conventionn</w:t>
      </w:r>
      <w:r>
        <w:rPr>
          <w:rFonts w:ascii="Palatino Linotype" w:hAnsi="Palatino Linotype"/>
        </w:rPr>
        <w:t>alisation</w:t>
      </w:r>
      <w:proofErr w:type="spellEnd"/>
      <w:r>
        <w:rPr>
          <w:rFonts w:ascii="Palatino Linotype" w:hAnsi="Palatino Linotype"/>
        </w:rPr>
        <w:t xml:space="preserve"> » ou encore </w:t>
      </w:r>
      <w:r w:rsidR="00C849AF">
        <w:rPr>
          <w:rFonts w:ascii="Palatino Linotype" w:hAnsi="Palatino Linotype"/>
        </w:rPr>
        <w:t xml:space="preserve">diffusion </w:t>
      </w:r>
      <w:r>
        <w:rPr>
          <w:rFonts w:ascii="Palatino Linotype" w:hAnsi="Palatino Linotype"/>
        </w:rPr>
        <w:t xml:space="preserve">de représentations idéalisées </w:t>
      </w:r>
      <w:r w:rsidRPr="005826F2">
        <w:rPr>
          <w:rFonts w:ascii="Palatino Linotype" w:hAnsi="Palatino Linotype"/>
        </w:rPr>
        <w:t xml:space="preserve">de </w:t>
      </w:r>
      <w:r>
        <w:rPr>
          <w:rFonts w:ascii="Palatino Linotype" w:hAnsi="Palatino Linotype"/>
        </w:rPr>
        <w:t xml:space="preserve">l’agriculture et du monde rural). </w:t>
      </w:r>
    </w:p>
    <w:p w:rsidR="00085046" w:rsidRPr="005826F2" w:rsidRDefault="00085046" w:rsidP="00085046">
      <w:pPr>
        <w:jc w:val="both"/>
        <w:rPr>
          <w:rFonts w:ascii="Palatino Linotype" w:hAnsi="Palatino Linotype"/>
        </w:rPr>
      </w:pPr>
      <w:r w:rsidRPr="005826F2">
        <w:rPr>
          <w:rFonts w:ascii="Palatino Linotype" w:hAnsi="Palatino Linotype"/>
        </w:rPr>
        <w:t xml:space="preserve">Les communications attendues pour nourrir cette réflexion pourront schématiquement recouvrir trois axes de débat, sans forcément s’y limiter : </w:t>
      </w:r>
    </w:p>
    <w:p w:rsidR="00C849AF" w:rsidRDefault="00085046" w:rsidP="00085046">
      <w:pPr>
        <w:jc w:val="both"/>
        <w:rPr>
          <w:rFonts w:ascii="Palatino Linotype" w:hAnsi="Palatino Linotype"/>
          <w:b/>
        </w:rPr>
      </w:pPr>
      <w:r w:rsidRPr="005826F2">
        <w:rPr>
          <w:rFonts w:ascii="Palatino Linotype" w:hAnsi="Palatino Linotype"/>
          <w:b/>
        </w:rPr>
        <w:t>Axe 1. L’agriculture comme problème public</w:t>
      </w:r>
    </w:p>
    <w:p w:rsidR="00EF64AA" w:rsidRDefault="00C849AF" w:rsidP="00EF64AA">
      <w:pPr>
        <w:jc w:val="both"/>
        <w:rPr>
          <w:rFonts w:ascii="Palatino Linotype" w:hAnsi="Palatino Linotype"/>
        </w:rPr>
      </w:pPr>
      <w:r>
        <w:rPr>
          <w:rFonts w:ascii="Palatino Linotype" w:hAnsi="Palatino Linotype"/>
        </w:rPr>
        <w:t xml:space="preserve">Au fil par exemple de conflits d’usage ou de </w:t>
      </w:r>
      <w:r w:rsidR="00085046">
        <w:rPr>
          <w:rFonts w:ascii="Palatino Linotype" w:hAnsi="Palatino Linotype"/>
        </w:rPr>
        <w:t>grandes controverses sanitaires (</w:t>
      </w:r>
      <w:r>
        <w:rPr>
          <w:rFonts w:ascii="Palatino Linotype" w:hAnsi="Palatino Linotype"/>
        </w:rPr>
        <w:t>« </w:t>
      </w:r>
      <w:r w:rsidR="00085046">
        <w:rPr>
          <w:rFonts w:ascii="Palatino Linotype" w:hAnsi="Palatino Linotype"/>
        </w:rPr>
        <w:t>vache folle</w:t>
      </w:r>
      <w:r>
        <w:rPr>
          <w:rFonts w:ascii="Palatino Linotype" w:hAnsi="Palatino Linotype"/>
        </w:rPr>
        <w:t> »</w:t>
      </w:r>
      <w:r w:rsidR="00085046">
        <w:rPr>
          <w:rFonts w:ascii="Palatino Linotype" w:hAnsi="Palatino Linotype"/>
        </w:rPr>
        <w:t xml:space="preserve">, etc.), l’orientation de l’agriculture </w:t>
      </w:r>
      <w:r w:rsidR="00085046" w:rsidRPr="005826F2">
        <w:rPr>
          <w:rFonts w:ascii="Palatino Linotype" w:hAnsi="Palatino Linotype"/>
        </w:rPr>
        <w:t>tend à ne plus être aujourd’hui uniquement aux mains des représentants du monde agricole</w:t>
      </w:r>
      <w:r w:rsidR="00085046">
        <w:rPr>
          <w:rFonts w:ascii="Palatino Linotype" w:hAnsi="Palatino Linotype"/>
        </w:rPr>
        <w:t>.</w:t>
      </w:r>
      <w:r w:rsidR="00085046" w:rsidRPr="00663683">
        <w:rPr>
          <w:rFonts w:ascii="Palatino Linotype" w:hAnsi="Palatino Linotype"/>
        </w:rPr>
        <w:t xml:space="preserve"> </w:t>
      </w:r>
      <w:r w:rsidR="00085046">
        <w:rPr>
          <w:rFonts w:ascii="Palatino Linotype" w:hAnsi="Palatino Linotype"/>
        </w:rPr>
        <w:t>Un premier axe de réflexion concerne alors la manière dont l</w:t>
      </w:r>
      <w:r>
        <w:rPr>
          <w:rFonts w:ascii="Palatino Linotype" w:hAnsi="Palatino Linotype"/>
        </w:rPr>
        <w:t xml:space="preserve">es activités agricoles sont constituées </w:t>
      </w:r>
      <w:r w:rsidR="00085046">
        <w:rPr>
          <w:rFonts w:ascii="Palatino Linotype" w:hAnsi="Palatino Linotype"/>
        </w:rPr>
        <w:t xml:space="preserve">en problème public. </w:t>
      </w:r>
      <w:r>
        <w:rPr>
          <w:rFonts w:ascii="Palatino Linotype" w:hAnsi="Palatino Linotype"/>
        </w:rPr>
        <w:t>L</w:t>
      </w:r>
      <w:r w:rsidR="00085046">
        <w:rPr>
          <w:rFonts w:ascii="Palatino Linotype" w:hAnsi="Palatino Linotype"/>
        </w:rPr>
        <w:t xml:space="preserve">es communications pourront, par exemple : </w:t>
      </w:r>
    </w:p>
    <w:p w:rsidR="00EF64AA" w:rsidRDefault="00085046" w:rsidP="00EF64AA">
      <w:pPr>
        <w:pStyle w:val="Paragraphedeliste"/>
        <w:numPr>
          <w:ilvl w:val="0"/>
          <w:numId w:val="7"/>
        </w:numPr>
        <w:jc w:val="both"/>
        <w:rPr>
          <w:rFonts w:ascii="Palatino Linotype" w:hAnsi="Palatino Linotype"/>
        </w:rPr>
      </w:pPr>
      <w:r w:rsidRPr="00EF64AA">
        <w:rPr>
          <w:rFonts w:ascii="Palatino Linotype" w:hAnsi="Palatino Linotype"/>
        </w:rPr>
        <w:lastRenderedPageBreak/>
        <w:t xml:space="preserve">décrire les nouveaux acteurs qui prennent part au débat public autour de la définition de ce qu’est la « bonne » agriculture (des acteurs issus des mondes de la protection de l’environnement, de la santé publique, de l’urbanisme, etc.) ; </w:t>
      </w:r>
    </w:p>
    <w:p w:rsidR="00EF64AA" w:rsidRDefault="00C849AF" w:rsidP="00EF64AA">
      <w:pPr>
        <w:pStyle w:val="Paragraphedeliste"/>
        <w:numPr>
          <w:ilvl w:val="0"/>
          <w:numId w:val="7"/>
        </w:numPr>
        <w:jc w:val="both"/>
        <w:rPr>
          <w:rFonts w:ascii="Palatino Linotype" w:hAnsi="Palatino Linotype"/>
        </w:rPr>
      </w:pPr>
      <w:r w:rsidRPr="00EF64AA">
        <w:rPr>
          <w:rFonts w:ascii="Palatino Linotype" w:hAnsi="Palatino Linotype"/>
        </w:rPr>
        <w:t>interroger la manière dont sont représentés les agriculteurs, l’agriculture ou « la ruralité »</w:t>
      </w:r>
      <w:r w:rsidR="00823DD3" w:rsidRPr="00EF64AA">
        <w:rPr>
          <w:rFonts w:ascii="Palatino Linotype" w:hAnsi="Palatino Linotype"/>
        </w:rPr>
        <w:t xml:space="preserve"> dans l</w:t>
      </w:r>
      <w:r w:rsidRPr="00EF64AA">
        <w:rPr>
          <w:rFonts w:ascii="Palatino Linotype" w:hAnsi="Palatino Linotype"/>
        </w:rPr>
        <w:t>es débats</w:t>
      </w:r>
      <w:r w:rsidR="00823DD3" w:rsidRPr="00EF64AA">
        <w:rPr>
          <w:rFonts w:ascii="Palatino Linotype" w:hAnsi="Palatino Linotype"/>
        </w:rPr>
        <w:t xml:space="preserve"> publics, les </w:t>
      </w:r>
      <w:r w:rsidRPr="00EF64AA">
        <w:rPr>
          <w:rFonts w:ascii="Palatino Linotype" w:hAnsi="Palatino Linotype"/>
        </w:rPr>
        <w:t xml:space="preserve">médias, </w:t>
      </w:r>
      <w:r w:rsidR="00823DD3" w:rsidRPr="00EF64AA">
        <w:rPr>
          <w:rFonts w:ascii="Palatino Linotype" w:hAnsi="Palatino Linotype"/>
        </w:rPr>
        <w:t>mais aussi les sciences sociales</w:t>
      </w:r>
      <w:r w:rsidR="00EF64AA" w:rsidRPr="00EF64AA">
        <w:rPr>
          <w:rFonts w:ascii="Palatino Linotype" w:hAnsi="Palatino Linotype"/>
        </w:rPr>
        <w:t> ;</w:t>
      </w:r>
    </w:p>
    <w:p w:rsidR="00E619C2" w:rsidRDefault="00085046" w:rsidP="00EF64AA">
      <w:pPr>
        <w:pStyle w:val="Paragraphedeliste"/>
        <w:numPr>
          <w:ilvl w:val="0"/>
          <w:numId w:val="7"/>
        </w:numPr>
        <w:jc w:val="both"/>
        <w:rPr>
          <w:rFonts w:ascii="Palatino Linotype" w:hAnsi="Palatino Linotype"/>
        </w:rPr>
      </w:pPr>
      <w:r w:rsidRPr="00EF64AA">
        <w:rPr>
          <w:rFonts w:ascii="Palatino Linotype" w:hAnsi="Palatino Linotype"/>
        </w:rPr>
        <w:t>analyser la manière dont sont construits et circulent certains énoncés</w:t>
      </w:r>
      <w:r w:rsidR="00823DD3" w:rsidRPr="00EF64AA">
        <w:rPr>
          <w:rFonts w:ascii="Palatino Linotype" w:hAnsi="Palatino Linotype"/>
        </w:rPr>
        <w:t>, mots d’ordre</w:t>
      </w:r>
      <w:r w:rsidRPr="00EF64AA">
        <w:rPr>
          <w:rFonts w:ascii="Palatino Linotype" w:hAnsi="Palatino Linotype"/>
        </w:rPr>
        <w:t xml:space="preserve"> </w:t>
      </w:r>
      <w:r w:rsidR="00823DD3" w:rsidRPr="00EF64AA">
        <w:rPr>
          <w:rFonts w:ascii="Palatino Linotype" w:hAnsi="Palatino Linotype"/>
        </w:rPr>
        <w:t>ou termes qui qualifie</w:t>
      </w:r>
      <w:r w:rsidRPr="00EF64AA">
        <w:rPr>
          <w:rFonts w:ascii="Palatino Linotype" w:hAnsi="Palatino Linotype"/>
        </w:rPr>
        <w:t>nt les nou</w:t>
      </w:r>
      <w:r w:rsidR="00823DD3" w:rsidRPr="00EF64AA">
        <w:rPr>
          <w:rFonts w:ascii="Palatino Linotype" w:hAnsi="Palatino Linotype"/>
        </w:rPr>
        <w:t>velles formes d’agriculture et</w:t>
      </w:r>
      <w:r w:rsidRPr="00EF64AA">
        <w:rPr>
          <w:rFonts w:ascii="Palatino Linotype" w:hAnsi="Palatino Linotype"/>
        </w:rPr>
        <w:t xml:space="preserve"> sont aussi des enjeux de lutte, de définition ou de cadrage (agriculture « biologique », agriculture « durable », agriculture « raisonnée », agriculture « de conservation », « agriculture écologiquement intensive », « </w:t>
      </w:r>
      <w:proofErr w:type="spellStart"/>
      <w:r w:rsidRPr="00EF64AA">
        <w:rPr>
          <w:rFonts w:ascii="Palatino Linotype" w:hAnsi="Palatino Linotype"/>
        </w:rPr>
        <w:t>agroécologie</w:t>
      </w:r>
      <w:proofErr w:type="spellEnd"/>
      <w:r w:rsidRPr="00EF64AA">
        <w:rPr>
          <w:rFonts w:ascii="Palatino Linotype" w:hAnsi="Palatino Linotype"/>
        </w:rPr>
        <w:t xml:space="preserve"> »…</w:t>
      </w:r>
      <w:r w:rsidR="00E619C2">
        <w:rPr>
          <w:rFonts w:ascii="Palatino Linotype" w:hAnsi="Palatino Linotype"/>
        </w:rPr>
        <w:t>) ;</w:t>
      </w:r>
    </w:p>
    <w:p w:rsidR="00C849AF" w:rsidRPr="00EF64AA" w:rsidRDefault="00C849AF" w:rsidP="00EF64AA">
      <w:pPr>
        <w:pStyle w:val="Paragraphedeliste"/>
        <w:numPr>
          <w:ilvl w:val="0"/>
          <w:numId w:val="7"/>
        </w:numPr>
        <w:jc w:val="both"/>
        <w:rPr>
          <w:rFonts w:ascii="Palatino Linotype" w:hAnsi="Palatino Linotype"/>
        </w:rPr>
      </w:pPr>
      <w:r w:rsidRPr="00EF64AA">
        <w:rPr>
          <w:rFonts w:ascii="Palatino Linotype" w:hAnsi="Palatino Linotype"/>
        </w:rPr>
        <w:t>décrire la mise sur agenda de l’administration et la manière dont les pouvoirs publics accueillent des pratiques innovantes (quels processus de repérage ? quels relais territoriaux ? quelles formes d’aide ? etc.)</w:t>
      </w:r>
    </w:p>
    <w:p w:rsidR="00085046" w:rsidRPr="005934AF" w:rsidRDefault="00085046" w:rsidP="00085046">
      <w:pPr>
        <w:jc w:val="both"/>
        <w:rPr>
          <w:rFonts w:ascii="Palatino Linotype" w:hAnsi="Palatino Linotype"/>
          <w:b/>
        </w:rPr>
      </w:pPr>
      <w:r w:rsidRPr="005934AF">
        <w:rPr>
          <w:rFonts w:ascii="Palatino Linotype" w:hAnsi="Palatino Linotype"/>
          <w:b/>
        </w:rPr>
        <w:t>Axe 2. L’agriculture au cœur de nouvelles formes de contestation et de résistance</w:t>
      </w:r>
    </w:p>
    <w:p w:rsidR="00EF64AA" w:rsidRDefault="00085046" w:rsidP="00EF64AA">
      <w:pPr>
        <w:jc w:val="both"/>
        <w:rPr>
          <w:rFonts w:ascii="Palatino Linotype" w:hAnsi="Palatino Linotype"/>
        </w:rPr>
      </w:pPr>
      <w:r>
        <w:rPr>
          <w:rFonts w:ascii="Palatino Linotype" w:hAnsi="Palatino Linotype"/>
        </w:rPr>
        <w:t xml:space="preserve">De l’importance prise par la référence à la paysannerie dans les mouvements sociaux contemporains (Via </w:t>
      </w:r>
      <w:proofErr w:type="spellStart"/>
      <w:r>
        <w:rPr>
          <w:rFonts w:ascii="Palatino Linotype" w:hAnsi="Palatino Linotype"/>
        </w:rPr>
        <w:t>Campesina</w:t>
      </w:r>
      <w:proofErr w:type="spellEnd"/>
      <w:r>
        <w:rPr>
          <w:rFonts w:ascii="Palatino Linotype" w:hAnsi="Palatino Linotype"/>
        </w:rPr>
        <w:t>, Confédération paysanne, etc.) à la manière dont de nouveaux collectifs militants investissent les questions agricoles (bien-être animal, OGM, etc.), l’agriculture apparaît comme un des fronts centraux dans le déploiement</w:t>
      </w:r>
      <w:r w:rsidR="00AA4262">
        <w:rPr>
          <w:rFonts w:ascii="Palatino Linotype" w:hAnsi="Palatino Linotype"/>
        </w:rPr>
        <w:t xml:space="preserve"> de nouvelles formes d’engagement militant ou citoyen</w:t>
      </w:r>
      <w:r>
        <w:rPr>
          <w:rFonts w:ascii="Palatino Linotype" w:hAnsi="Palatino Linotype"/>
        </w:rPr>
        <w:t xml:space="preserve">. </w:t>
      </w:r>
      <w:r w:rsidR="00AA4262">
        <w:rPr>
          <w:rFonts w:ascii="Palatino Linotype" w:hAnsi="Palatino Linotype"/>
        </w:rPr>
        <w:t>Le</w:t>
      </w:r>
      <w:r w:rsidR="005934AF">
        <w:rPr>
          <w:rFonts w:ascii="Palatino Linotype" w:hAnsi="Palatino Linotype"/>
        </w:rPr>
        <w:t xml:space="preserve"> deuxième axe de réflexion </w:t>
      </w:r>
      <w:r w:rsidR="00AA4262">
        <w:rPr>
          <w:rFonts w:ascii="Palatino Linotype" w:hAnsi="Palatino Linotype"/>
        </w:rPr>
        <w:t xml:space="preserve">du colloque tente alors de cerner </w:t>
      </w:r>
      <w:r w:rsidR="005934AF">
        <w:rPr>
          <w:rFonts w:ascii="Palatino Linotype" w:hAnsi="Palatino Linotype"/>
        </w:rPr>
        <w:t>les liens, parfois forts mais aussi parfois ténus, qu’entretiennent les mobilisations contemporaines avec l’agriculture et le monde agricole. L</w:t>
      </w:r>
      <w:r>
        <w:rPr>
          <w:rFonts w:ascii="Palatino Linotype" w:hAnsi="Palatino Linotype"/>
        </w:rPr>
        <w:t>es communications pourront par exemple</w:t>
      </w:r>
      <w:r w:rsidR="005934AF">
        <w:rPr>
          <w:rFonts w:ascii="Palatino Linotype" w:hAnsi="Palatino Linotype"/>
        </w:rPr>
        <w:t> :</w:t>
      </w:r>
      <w:r w:rsidR="00823DD3">
        <w:rPr>
          <w:rFonts w:ascii="Palatino Linotype" w:hAnsi="Palatino Linotype"/>
        </w:rPr>
        <w:t xml:space="preserve"> </w:t>
      </w:r>
    </w:p>
    <w:p w:rsidR="00EF64AA" w:rsidRDefault="00823DD3" w:rsidP="00EF64AA">
      <w:pPr>
        <w:pStyle w:val="Paragraphedeliste"/>
        <w:numPr>
          <w:ilvl w:val="0"/>
          <w:numId w:val="6"/>
        </w:numPr>
        <w:jc w:val="both"/>
        <w:rPr>
          <w:rFonts w:ascii="Palatino Linotype" w:hAnsi="Palatino Linotype"/>
        </w:rPr>
      </w:pPr>
      <w:r w:rsidRPr="00EF64AA">
        <w:rPr>
          <w:rFonts w:ascii="Palatino Linotype" w:hAnsi="Palatino Linotype"/>
        </w:rPr>
        <w:t xml:space="preserve">proposer des études empiriques de </w:t>
      </w:r>
      <w:r w:rsidR="00AA4262" w:rsidRPr="00EF64AA">
        <w:rPr>
          <w:rFonts w:ascii="Palatino Linotype" w:hAnsi="Palatino Linotype"/>
        </w:rPr>
        <w:t>syndicats ou de</w:t>
      </w:r>
      <w:r w:rsidRPr="00EF64AA">
        <w:rPr>
          <w:rFonts w:ascii="Palatino Linotype" w:hAnsi="Palatino Linotype"/>
        </w:rPr>
        <w:t xml:space="preserve"> mouvements sociaux </w:t>
      </w:r>
      <w:r w:rsidR="00AA4262" w:rsidRPr="00EF64AA">
        <w:rPr>
          <w:rFonts w:ascii="Palatino Linotype" w:hAnsi="Palatino Linotype"/>
        </w:rPr>
        <w:t>contemporains en analysant les répertoires d’action collective ou l</w:t>
      </w:r>
      <w:r w:rsidR="00085046" w:rsidRPr="00EF64AA">
        <w:rPr>
          <w:rFonts w:ascii="Palatino Linotype" w:hAnsi="Palatino Linotype"/>
        </w:rPr>
        <w:t>a trajectoire des militants (notamment leurs liens éventuels avec</w:t>
      </w:r>
      <w:r w:rsidR="00AA4262" w:rsidRPr="00EF64AA">
        <w:rPr>
          <w:rFonts w:ascii="Palatino Linotype" w:hAnsi="Palatino Linotype"/>
        </w:rPr>
        <w:t xml:space="preserve"> d’autres mouvements sociaux) ;</w:t>
      </w:r>
    </w:p>
    <w:p w:rsidR="00EF64AA" w:rsidRDefault="00AA4262" w:rsidP="00EF64AA">
      <w:pPr>
        <w:pStyle w:val="Paragraphedeliste"/>
        <w:numPr>
          <w:ilvl w:val="0"/>
          <w:numId w:val="6"/>
        </w:numPr>
        <w:jc w:val="both"/>
        <w:rPr>
          <w:rFonts w:ascii="Palatino Linotype" w:hAnsi="Palatino Linotype"/>
        </w:rPr>
      </w:pPr>
      <w:r w:rsidRPr="00EF64AA">
        <w:rPr>
          <w:rFonts w:ascii="Palatino Linotype" w:hAnsi="Palatino Linotype"/>
        </w:rPr>
        <w:t xml:space="preserve">analyser l’émergence de réseaux alternatifs structurés (développement de circuits courts de distribution ; </w:t>
      </w:r>
      <w:proofErr w:type="spellStart"/>
      <w:r w:rsidRPr="00EF64AA">
        <w:rPr>
          <w:rFonts w:ascii="Palatino Linotype" w:hAnsi="Palatino Linotype"/>
          <w:i/>
        </w:rPr>
        <w:t>food</w:t>
      </w:r>
      <w:proofErr w:type="spellEnd"/>
      <w:r w:rsidRPr="00EF64AA">
        <w:rPr>
          <w:rFonts w:ascii="Palatino Linotype" w:hAnsi="Palatino Linotype"/>
          <w:i/>
        </w:rPr>
        <w:t xml:space="preserve"> justice</w:t>
      </w:r>
      <w:r w:rsidRPr="00EF64AA">
        <w:rPr>
          <w:rFonts w:ascii="Palatino Linotype" w:hAnsi="Palatino Linotype"/>
        </w:rPr>
        <w:t xml:space="preserve"> et accès à l’alimentation des populations défavorisées dans les grands centres urbains ; etc.) ;</w:t>
      </w:r>
    </w:p>
    <w:p w:rsidR="00AA4262" w:rsidRPr="00EF64AA" w:rsidRDefault="00AA4262" w:rsidP="00EF64AA">
      <w:pPr>
        <w:pStyle w:val="Paragraphedeliste"/>
        <w:numPr>
          <w:ilvl w:val="0"/>
          <w:numId w:val="6"/>
        </w:numPr>
        <w:jc w:val="both"/>
        <w:rPr>
          <w:rFonts w:ascii="Palatino Linotype" w:hAnsi="Palatino Linotype"/>
        </w:rPr>
      </w:pPr>
      <w:r w:rsidRPr="00EF64AA">
        <w:rPr>
          <w:rFonts w:ascii="Palatino Linotype" w:hAnsi="Palatino Linotype"/>
        </w:rPr>
        <w:t xml:space="preserve">proposer une ethnographie des réseaux plus informels qui se constituent autour de ces questions, mais aussi de questions telles que le </w:t>
      </w:r>
      <w:r w:rsidRPr="00E619C2">
        <w:rPr>
          <w:rFonts w:ascii="Palatino Linotype" w:hAnsi="Palatino Linotype"/>
          <w:i/>
        </w:rPr>
        <w:t>care</w:t>
      </w:r>
      <w:r w:rsidRPr="00EF64AA">
        <w:rPr>
          <w:rFonts w:ascii="Palatino Linotype" w:hAnsi="Palatino Linotype"/>
        </w:rPr>
        <w:t xml:space="preserve">, l’aide aux agriculteurs en difficulté, l’exclusion, etc., en montrant </w:t>
      </w:r>
      <w:r w:rsidR="00977C07" w:rsidRPr="00EF64AA">
        <w:rPr>
          <w:rFonts w:ascii="Palatino Linotype" w:hAnsi="Palatino Linotype"/>
        </w:rPr>
        <w:t xml:space="preserve">par exemple </w:t>
      </w:r>
      <w:r w:rsidRPr="00EF64AA">
        <w:rPr>
          <w:rFonts w:ascii="Palatino Linotype" w:hAnsi="Palatino Linotype"/>
        </w:rPr>
        <w:t xml:space="preserve">comment </w:t>
      </w:r>
      <w:r w:rsidR="00977C07" w:rsidRPr="00EF64AA">
        <w:rPr>
          <w:rFonts w:ascii="Palatino Linotype" w:hAnsi="Palatino Linotype"/>
        </w:rPr>
        <w:t>des formes de politisation ou de contestation « ordinaire » se développent hors des réseaux militants.</w:t>
      </w:r>
    </w:p>
    <w:p w:rsidR="00085046" w:rsidRPr="001565D5" w:rsidRDefault="00085046" w:rsidP="00085046">
      <w:pPr>
        <w:tabs>
          <w:tab w:val="left" w:pos="6946"/>
        </w:tabs>
        <w:jc w:val="both"/>
        <w:rPr>
          <w:rFonts w:ascii="Palatino Linotype" w:hAnsi="Palatino Linotype"/>
          <w:b/>
        </w:rPr>
      </w:pPr>
      <w:r w:rsidRPr="001565D5">
        <w:rPr>
          <w:rFonts w:ascii="Palatino Linotype" w:hAnsi="Palatino Linotype"/>
          <w:b/>
        </w:rPr>
        <w:t xml:space="preserve">Axe 3. </w:t>
      </w:r>
      <w:r>
        <w:rPr>
          <w:rFonts w:ascii="Palatino Linotype" w:hAnsi="Palatino Linotype"/>
          <w:b/>
        </w:rPr>
        <w:t>La fabrique d’une nouvelle agriculture</w:t>
      </w:r>
    </w:p>
    <w:p w:rsidR="004F2433" w:rsidRDefault="00035E81" w:rsidP="00085046">
      <w:pPr>
        <w:jc w:val="both"/>
        <w:rPr>
          <w:rFonts w:ascii="Palatino Linotype" w:hAnsi="Palatino Linotype"/>
        </w:rPr>
      </w:pPr>
      <w:r>
        <w:rPr>
          <w:rFonts w:ascii="Palatino Linotype" w:hAnsi="Palatino Linotype"/>
        </w:rPr>
        <w:t xml:space="preserve">Le troisième axe de réflexion concerne la manière dont se concrétisent, dans les pratiques professionnelles, les déplacements qu’opèrent les débats publics, les mobilisations collectives et les demandes de nouvelles formes d’agriculture. Il ne s’agit pas ici de plaider pour tel ou tel modèle censé être plus équitable ou plus durable, mais d’examiner concrètement les </w:t>
      </w:r>
      <w:r>
        <w:rPr>
          <w:rFonts w:ascii="Palatino Linotype" w:hAnsi="Palatino Linotype"/>
        </w:rPr>
        <w:lastRenderedPageBreak/>
        <w:t>pratiques des acteurs, les perspectives de libération qui s’offrent à eux mais aussi les nouvelles contraintes</w:t>
      </w:r>
      <w:r w:rsidR="002267C8">
        <w:rPr>
          <w:rFonts w:ascii="Palatino Linotype" w:hAnsi="Palatino Linotype"/>
        </w:rPr>
        <w:t xml:space="preserve"> qu’ils doivent affronter</w:t>
      </w:r>
      <w:r>
        <w:rPr>
          <w:rFonts w:ascii="Palatino Linotype" w:hAnsi="Palatino Linotype"/>
        </w:rPr>
        <w:t>. Les contributions pourront ainsi, par exemple :</w:t>
      </w:r>
    </w:p>
    <w:p w:rsidR="00145A75" w:rsidRPr="00145A75" w:rsidRDefault="00145A75" w:rsidP="00145A75">
      <w:pPr>
        <w:pStyle w:val="Paragraphedeliste"/>
        <w:numPr>
          <w:ilvl w:val="0"/>
          <w:numId w:val="5"/>
        </w:numPr>
        <w:jc w:val="both"/>
        <w:rPr>
          <w:rFonts w:ascii="Palatino Linotype" w:hAnsi="Palatino Linotype"/>
        </w:rPr>
      </w:pPr>
      <w:r w:rsidRPr="00145A75">
        <w:rPr>
          <w:rFonts w:ascii="Palatino Linotype" w:hAnsi="Palatino Linotype"/>
        </w:rPr>
        <w:t>a</w:t>
      </w:r>
      <w:r w:rsidR="00035E81" w:rsidRPr="00145A75">
        <w:rPr>
          <w:rFonts w:ascii="Palatino Linotype" w:hAnsi="Palatino Linotype"/>
        </w:rPr>
        <w:t>nalyser les tensions provoquées par le surgissement de nouveaux mots d’ordre et les interrogations</w:t>
      </w:r>
      <w:r w:rsidRPr="00145A75">
        <w:rPr>
          <w:rFonts w:ascii="Palatino Linotype" w:hAnsi="Palatino Linotype"/>
        </w:rPr>
        <w:t xml:space="preserve"> des agriculteurs</w:t>
      </w:r>
      <w:r w:rsidR="00035E81" w:rsidRPr="00145A75">
        <w:rPr>
          <w:rFonts w:ascii="Palatino Linotype" w:hAnsi="Palatino Linotype"/>
        </w:rPr>
        <w:t xml:space="preserve"> en termes </w:t>
      </w:r>
      <w:r w:rsidRPr="00145A75">
        <w:rPr>
          <w:rFonts w:ascii="Palatino Linotype" w:hAnsi="Palatino Linotype"/>
        </w:rPr>
        <w:t>de rapport au métier ;</w:t>
      </w:r>
    </w:p>
    <w:p w:rsidR="00145A75" w:rsidRPr="00145A75" w:rsidRDefault="00145A75" w:rsidP="00145A75">
      <w:pPr>
        <w:pStyle w:val="Paragraphedeliste"/>
        <w:numPr>
          <w:ilvl w:val="0"/>
          <w:numId w:val="5"/>
        </w:numPr>
        <w:jc w:val="both"/>
        <w:rPr>
          <w:rFonts w:ascii="Palatino Linotype" w:hAnsi="Palatino Linotype"/>
        </w:rPr>
      </w:pPr>
      <w:r w:rsidRPr="00145A75">
        <w:rPr>
          <w:rFonts w:ascii="Palatino Linotype" w:hAnsi="Palatino Linotype"/>
        </w:rPr>
        <w:t>retracer la manière dont se diffusent dans les exploitations de nouvelles normes (telles par exemple celles relatives au « bien-être animal ») en montrant par exemple ce qu’elles permettent aux acteurs d’accomplir mais aussi quels en sont les points aveugles ;</w:t>
      </w:r>
    </w:p>
    <w:p w:rsidR="00085046" w:rsidRPr="00145A75" w:rsidRDefault="00145A75" w:rsidP="00145A75">
      <w:pPr>
        <w:pStyle w:val="Paragraphedeliste"/>
        <w:numPr>
          <w:ilvl w:val="0"/>
          <w:numId w:val="5"/>
        </w:numPr>
        <w:jc w:val="both"/>
        <w:rPr>
          <w:rFonts w:ascii="Palatino Linotype" w:hAnsi="Palatino Linotype"/>
        </w:rPr>
      </w:pPr>
      <w:r w:rsidRPr="00145A75">
        <w:rPr>
          <w:rFonts w:ascii="Palatino Linotype" w:hAnsi="Palatino Linotype"/>
        </w:rPr>
        <w:t xml:space="preserve">décrire le développement de formes d’agricultures urbaines  </w:t>
      </w:r>
      <w:r w:rsidR="00085046" w:rsidRPr="00145A75">
        <w:rPr>
          <w:rFonts w:ascii="Palatino Linotype" w:hAnsi="Palatino Linotype"/>
        </w:rPr>
        <w:t>(jardins ouvriers, chantiers d’insertion, potagers militants, cultures sur</w:t>
      </w:r>
      <w:r w:rsidRPr="00145A75">
        <w:rPr>
          <w:rFonts w:ascii="Palatino Linotype" w:hAnsi="Palatino Linotype"/>
        </w:rPr>
        <w:t xml:space="preserve"> les toits des immeubles, etc.)</w:t>
      </w:r>
      <w:r w:rsidR="00085046" w:rsidRPr="00145A75">
        <w:rPr>
          <w:rFonts w:ascii="Palatino Linotype" w:hAnsi="Palatino Linotype"/>
        </w:rPr>
        <w:t xml:space="preserve"> souvent traitées en marge de l’agriculture institutionnalisée et de la profession agricole, et s’attacher par exemple à décrire qui les met en œuvre, comment elles s’institutionnalisent ou quel discours subversif elle</w:t>
      </w:r>
      <w:r w:rsidRPr="00145A75">
        <w:rPr>
          <w:rFonts w:ascii="Palatino Linotype" w:hAnsi="Palatino Linotype"/>
        </w:rPr>
        <w:t>s portent ;</w:t>
      </w:r>
    </w:p>
    <w:p w:rsidR="00145A75" w:rsidRPr="00145A75" w:rsidRDefault="00145A75" w:rsidP="00145A75">
      <w:pPr>
        <w:pStyle w:val="Paragraphedeliste"/>
        <w:numPr>
          <w:ilvl w:val="0"/>
          <w:numId w:val="5"/>
        </w:numPr>
        <w:jc w:val="both"/>
        <w:rPr>
          <w:rFonts w:ascii="Palatino Linotype" w:hAnsi="Palatino Linotype"/>
        </w:rPr>
      </w:pPr>
      <w:r w:rsidRPr="00145A75">
        <w:rPr>
          <w:rFonts w:ascii="Palatino Linotype" w:hAnsi="Palatino Linotype"/>
        </w:rPr>
        <w:t xml:space="preserve">s’intéresser à la transmission des savoirs professionnels en posant la question de leur émancipation par rapport au modèle diffusionniste </w:t>
      </w:r>
      <w:r w:rsidR="00085046" w:rsidRPr="00145A75">
        <w:rPr>
          <w:rFonts w:ascii="Palatino Linotype" w:hAnsi="Palatino Linotype"/>
        </w:rPr>
        <w:t>sur lequel s’est appuyée la « m</w:t>
      </w:r>
      <w:r w:rsidRPr="00145A75">
        <w:rPr>
          <w:rFonts w:ascii="Palatino Linotype" w:hAnsi="Palatino Linotype"/>
        </w:rPr>
        <w:t>odernisation » de l’agriculture : comment se reconfigurent ou pas les rapports entre expertise et savoirs locaux (notamment dans le domaine du conseil agricole) ? Comment de nouvelles formations s’organisent-elles (enseignement agricole) ? etc.</w:t>
      </w:r>
    </w:p>
    <w:p w:rsidR="00085046" w:rsidRDefault="00085046" w:rsidP="00085046">
      <w:pPr>
        <w:jc w:val="center"/>
        <w:rPr>
          <w:rFonts w:ascii="Palatino Linotype" w:hAnsi="Palatino Linotype"/>
        </w:rPr>
      </w:pPr>
      <w:r>
        <w:rPr>
          <w:rFonts w:ascii="Palatino Linotype" w:hAnsi="Palatino Linotype"/>
        </w:rPr>
        <w:t>***</w:t>
      </w:r>
    </w:p>
    <w:p w:rsidR="00085046" w:rsidRDefault="00085046" w:rsidP="00085046">
      <w:pPr>
        <w:jc w:val="both"/>
        <w:rPr>
          <w:rFonts w:ascii="Palatino Linotype" w:hAnsi="Palatino Linotype"/>
        </w:rPr>
      </w:pPr>
      <w:r>
        <w:rPr>
          <w:rFonts w:ascii="Palatino Linotype" w:hAnsi="Palatino Linotype"/>
        </w:rPr>
        <w:t xml:space="preserve">Large et ouvert à toutes les disciplines de SHS et aux  disciplines connexes, </w:t>
      </w:r>
      <w:r w:rsidR="00E619C2">
        <w:rPr>
          <w:rFonts w:ascii="Palatino Linotype" w:hAnsi="Palatino Linotype"/>
        </w:rPr>
        <w:t xml:space="preserve">avec un intérêt affirmé pour des terrains internationaux, cet appel </w:t>
      </w:r>
      <w:r>
        <w:rPr>
          <w:rFonts w:ascii="Palatino Linotype" w:hAnsi="Palatino Linotype"/>
        </w:rPr>
        <w:t>à communication s’adresse tout particulièrement à des recherches dotées d’une solide base empirique. Le colloque se tiendra en français et en anglais selon la langue parlée par les orateurs (un support de présentation dans l’autre langue</w:t>
      </w:r>
      <w:bookmarkStart w:id="0" w:name="_GoBack"/>
      <w:bookmarkEnd w:id="0"/>
      <w:r>
        <w:rPr>
          <w:rFonts w:ascii="Palatino Linotype" w:hAnsi="Palatino Linotype"/>
        </w:rPr>
        <w:t xml:space="preserve"> pourra être demandé).  </w:t>
      </w:r>
    </w:p>
    <w:p w:rsidR="00085046" w:rsidRDefault="00085046" w:rsidP="00085046">
      <w:pPr>
        <w:jc w:val="both"/>
        <w:rPr>
          <w:rFonts w:ascii="Palatino Linotype" w:hAnsi="Palatino Linotype"/>
        </w:rPr>
      </w:pPr>
      <w:r>
        <w:rPr>
          <w:rFonts w:ascii="Palatino Linotype" w:hAnsi="Palatino Linotype"/>
        </w:rPr>
        <w:t xml:space="preserve">Les propositions de communication (en français ou en anglais) sont attendues sous la forme de deux pages </w:t>
      </w:r>
      <w:r w:rsidR="002267C8">
        <w:rPr>
          <w:rFonts w:ascii="Palatino Linotype" w:hAnsi="Palatino Linotype"/>
        </w:rPr>
        <w:t xml:space="preserve">maximum </w:t>
      </w:r>
      <w:r>
        <w:rPr>
          <w:rFonts w:ascii="Palatino Linotype" w:hAnsi="Palatino Linotype"/>
        </w:rPr>
        <w:t>comprenant le titre de la proposition, un résumé précis (explicitant la problématique, donnant des éléments sur le terrain</w:t>
      </w:r>
      <w:r w:rsidR="002267C8">
        <w:rPr>
          <w:rFonts w:ascii="Palatino Linotype" w:hAnsi="Palatino Linotype"/>
        </w:rPr>
        <w:t xml:space="preserve"> et de méthodologie</w:t>
      </w:r>
      <w:r>
        <w:rPr>
          <w:rFonts w:ascii="Palatino Linotype" w:hAnsi="Palatino Linotype"/>
        </w:rPr>
        <w:t>, et indiquant l’idé</w:t>
      </w:r>
      <w:r w:rsidR="002267C8">
        <w:rPr>
          <w:rFonts w:ascii="Palatino Linotype" w:hAnsi="Palatino Linotype"/>
        </w:rPr>
        <w:t>e principale) et</w:t>
      </w:r>
      <w:r>
        <w:rPr>
          <w:rFonts w:ascii="Palatino Linotype" w:hAnsi="Palatino Linotype"/>
        </w:rPr>
        <w:t xml:space="preserve"> une </w:t>
      </w:r>
      <w:r w:rsidR="002267C8">
        <w:rPr>
          <w:rFonts w:ascii="Palatino Linotype" w:hAnsi="Palatino Linotype"/>
        </w:rPr>
        <w:t xml:space="preserve">courte </w:t>
      </w:r>
      <w:r>
        <w:rPr>
          <w:rFonts w:ascii="Palatino Linotype" w:hAnsi="Palatino Linotype"/>
        </w:rPr>
        <w:t>bibliographie, ainsi que le(s) nom(s), rattachement(s) institutionnel(s) et coordonnées du ou des auteur(s). Ces propos</w:t>
      </w:r>
      <w:r w:rsidR="005222B2">
        <w:rPr>
          <w:rFonts w:ascii="Palatino Linotype" w:hAnsi="Palatino Linotype"/>
        </w:rPr>
        <w:t xml:space="preserve">itions sont attendues pour le </w:t>
      </w:r>
      <w:r w:rsidR="005222B2" w:rsidRPr="005920E9">
        <w:rPr>
          <w:rFonts w:ascii="Palatino Linotype" w:hAnsi="Palatino Linotype"/>
          <w:b/>
        </w:rPr>
        <w:t>30</w:t>
      </w:r>
      <w:r w:rsidR="00E619C2" w:rsidRPr="005920E9">
        <w:rPr>
          <w:rFonts w:ascii="Palatino Linotype" w:hAnsi="Palatino Linotype"/>
          <w:b/>
        </w:rPr>
        <w:t xml:space="preserve"> mars</w:t>
      </w:r>
      <w:r w:rsidR="002267C8" w:rsidRPr="005920E9">
        <w:rPr>
          <w:rFonts w:ascii="Palatino Linotype" w:hAnsi="Palatino Linotype"/>
          <w:b/>
        </w:rPr>
        <w:t xml:space="preserve"> 2013</w:t>
      </w:r>
      <w:r w:rsidR="002267C8">
        <w:rPr>
          <w:rFonts w:ascii="Palatino Linotype" w:hAnsi="Palatino Linotype"/>
        </w:rPr>
        <w:t xml:space="preserve"> et, ainsi que toute question complémentaire, devront être adressées à Laura </w:t>
      </w:r>
      <w:proofErr w:type="spellStart"/>
      <w:r w:rsidR="002267C8">
        <w:rPr>
          <w:rFonts w:ascii="Palatino Linotype" w:hAnsi="Palatino Linotype"/>
        </w:rPr>
        <w:t>Sayre</w:t>
      </w:r>
      <w:proofErr w:type="spellEnd"/>
      <w:r w:rsidR="002267C8">
        <w:rPr>
          <w:rFonts w:ascii="Palatino Linotype" w:hAnsi="Palatino Linotype"/>
        </w:rPr>
        <w:t xml:space="preserve"> (chercheuse </w:t>
      </w:r>
      <w:proofErr w:type="spellStart"/>
      <w:r w:rsidR="002267C8">
        <w:rPr>
          <w:rFonts w:ascii="Palatino Linotype" w:hAnsi="Palatino Linotype"/>
        </w:rPr>
        <w:t>post-doctorale</w:t>
      </w:r>
      <w:proofErr w:type="spellEnd"/>
      <w:r w:rsidR="002267C8">
        <w:rPr>
          <w:rFonts w:ascii="Palatino Linotype" w:hAnsi="Palatino Linotype"/>
        </w:rPr>
        <w:t xml:space="preserve"> INRA-SAD, UMR </w:t>
      </w:r>
      <w:proofErr w:type="spellStart"/>
      <w:r w:rsidR="002267C8">
        <w:rPr>
          <w:rFonts w:ascii="Palatino Linotype" w:hAnsi="Palatino Linotype"/>
        </w:rPr>
        <w:t>Cesaer</w:t>
      </w:r>
      <w:proofErr w:type="spellEnd"/>
      <w:r w:rsidR="002267C8">
        <w:rPr>
          <w:rFonts w:ascii="Palatino Linotype" w:hAnsi="Palatino Linotype"/>
        </w:rPr>
        <w:t xml:space="preserve">) : </w:t>
      </w:r>
      <w:hyperlink r:id="rId8" w:history="1">
        <w:r w:rsidR="002267C8" w:rsidRPr="00A6594B">
          <w:rPr>
            <w:rStyle w:val="Lienhypertexte"/>
            <w:rFonts w:ascii="Palatino Linotype" w:hAnsi="Palatino Linotype"/>
          </w:rPr>
          <w:t>laura.sayre@dijon.inra.fr</w:t>
        </w:r>
      </w:hyperlink>
    </w:p>
    <w:p w:rsidR="00085046" w:rsidRDefault="00085046" w:rsidP="00085046">
      <w:pPr>
        <w:jc w:val="both"/>
        <w:rPr>
          <w:rFonts w:ascii="Palatino Linotype" w:hAnsi="Palatino Linotype"/>
        </w:rPr>
      </w:pPr>
      <w:r>
        <w:rPr>
          <w:rFonts w:ascii="Palatino Linotype" w:hAnsi="Palatino Linotype"/>
        </w:rPr>
        <w:t xml:space="preserve">L’avis du comité scientifique sera transmis aux auteurs des propositions de </w:t>
      </w:r>
      <w:r w:rsidR="00E619C2">
        <w:rPr>
          <w:rFonts w:ascii="Palatino Linotype" w:hAnsi="Palatino Linotype"/>
        </w:rPr>
        <w:t xml:space="preserve">communication début </w:t>
      </w:r>
      <w:r w:rsidR="005222B2">
        <w:rPr>
          <w:rFonts w:ascii="Palatino Linotype" w:hAnsi="Palatino Linotype"/>
        </w:rPr>
        <w:t xml:space="preserve">juin </w:t>
      </w:r>
      <w:r>
        <w:rPr>
          <w:rFonts w:ascii="Palatino Linotype" w:hAnsi="Palatino Linotype"/>
        </w:rPr>
        <w:t>2013.</w:t>
      </w:r>
      <w:r w:rsidR="002267C8">
        <w:rPr>
          <w:rFonts w:ascii="Palatino Linotype" w:hAnsi="Palatino Linotype"/>
        </w:rPr>
        <w:t xml:space="preserve"> </w:t>
      </w:r>
      <w:r>
        <w:rPr>
          <w:rFonts w:ascii="Palatino Linotype" w:hAnsi="Palatino Linotype"/>
        </w:rPr>
        <w:t>Les textes des communications (35 000 signes</w:t>
      </w:r>
      <w:r w:rsidR="002267C8">
        <w:rPr>
          <w:rFonts w:ascii="Palatino Linotype" w:hAnsi="Palatino Linotype"/>
        </w:rPr>
        <w:t xml:space="preserve"> environ</w:t>
      </w:r>
      <w:r w:rsidR="00535FAF">
        <w:rPr>
          <w:rFonts w:ascii="Palatino Linotype" w:hAnsi="Palatino Linotype"/>
        </w:rPr>
        <w:t>) sera</w:t>
      </w:r>
      <w:r w:rsidR="005222B2">
        <w:rPr>
          <w:rFonts w:ascii="Palatino Linotype" w:hAnsi="Palatino Linotype"/>
        </w:rPr>
        <w:t xml:space="preserve"> demandés pour le 30 septembre </w:t>
      </w:r>
      <w:r>
        <w:rPr>
          <w:rFonts w:ascii="Palatino Linotype" w:hAnsi="Palatino Linotype"/>
        </w:rPr>
        <w:t xml:space="preserve">2013, afin de permettre aux </w:t>
      </w:r>
      <w:proofErr w:type="spellStart"/>
      <w:r>
        <w:rPr>
          <w:rFonts w:ascii="Palatino Linotype" w:hAnsi="Palatino Linotype"/>
        </w:rPr>
        <w:t>disc</w:t>
      </w:r>
      <w:r w:rsidR="00535FAF">
        <w:rPr>
          <w:rFonts w:ascii="Palatino Linotype" w:hAnsi="Palatino Linotype"/>
        </w:rPr>
        <w:t>utants</w:t>
      </w:r>
      <w:proofErr w:type="spellEnd"/>
      <w:r w:rsidR="00535FAF">
        <w:rPr>
          <w:rFonts w:ascii="Palatino Linotype" w:hAnsi="Palatino Linotype"/>
        </w:rPr>
        <w:t xml:space="preserve"> de préparer leur travail</w:t>
      </w:r>
      <w:r>
        <w:rPr>
          <w:rFonts w:ascii="Palatino Linotype" w:hAnsi="Palatino Linotype"/>
        </w:rPr>
        <w:t xml:space="preserve"> </w:t>
      </w:r>
      <w:r w:rsidR="00535FAF">
        <w:rPr>
          <w:rFonts w:ascii="Palatino Linotype" w:hAnsi="Palatino Linotype"/>
        </w:rPr>
        <w:t xml:space="preserve">et </w:t>
      </w:r>
      <w:r>
        <w:rPr>
          <w:rFonts w:ascii="Palatino Linotype" w:hAnsi="Palatino Linotype"/>
        </w:rPr>
        <w:t>d’anticiper la phase de publication. Celle-ci interviendra peu après le colloque.</w:t>
      </w:r>
    </w:p>
    <w:p w:rsidR="0043007C" w:rsidRPr="005826F2" w:rsidRDefault="00D613B6" w:rsidP="00D613B6">
      <w:pPr>
        <w:jc w:val="both"/>
        <w:rPr>
          <w:rFonts w:ascii="Palatino Linotype" w:hAnsi="Palatino Linotype"/>
        </w:rPr>
      </w:pPr>
      <w:r w:rsidRPr="00D613B6">
        <w:rPr>
          <w:rFonts w:ascii="Palatino Linotype" w:hAnsi="Palatino Linotype"/>
          <w:i/>
        </w:rPr>
        <w:t>Composition du Comité scientifique :</w:t>
      </w:r>
      <w:r>
        <w:rPr>
          <w:rFonts w:ascii="Palatino Linotype" w:hAnsi="Palatino Linotype"/>
        </w:rPr>
        <w:t xml:space="preserve"> </w:t>
      </w:r>
      <w:r w:rsidRPr="00D613B6">
        <w:rPr>
          <w:rFonts w:ascii="Palatino Linotype" w:hAnsi="Palatino Linotype"/>
        </w:rPr>
        <w:t xml:space="preserve">Florent BIDAUD (Centre d’Etudes et de Prospective, Ministère de l’Agriculture), Stéphane BELLON (INRA-SAD Avignon), Jacqueline CANDAU </w:t>
      </w:r>
      <w:r w:rsidRPr="00D613B6">
        <w:rPr>
          <w:rFonts w:ascii="Palatino Linotype" w:hAnsi="Palatino Linotype"/>
        </w:rPr>
        <w:lastRenderedPageBreak/>
        <w:t>(IRSTEA Bordeaux), Yuna CHIFFOLEAU (INRA-SAD Montpellier), Claude COMPAGNONE (</w:t>
      </w:r>
      <w:proofErr w:type="spellStart"/>
      <w:r w:rsidRPr="00D613B6">
        <w:rPr>
          <w:rFonts w:ascii="Palatino Linotype" w:hAnsi="Palatino Linotype"/>
        </w:rPr>
        <w:t>AgroSup</w:t>
      </w:r>
      <w:proofErr w:type="spellEnd"/>
      <w:r w:rsidRPr="00D613B6">
        <w:rPr>
          <w:rFonts w:ascii="Palatino Linotype" w:hAnsi="Palatino Linotype"/>
        </w:rPr>
        <w:t xml:space="preserve"> Dijon), Philippe CORCUFF (IEP Lyon), François DEDIEU (INRA SAD Champs-sur-Marne), Eric DOIDY (INRA-SAD Dijon), Lucie DUPRE (INRA-SAE2 Ivry), Philippe FLEURY (ISARA Lyon), </w:t>
      </w:r>
      <w:proofErr w:type="spellStart"/>
      <w:r w:rsidRPr="00D613B6">
        <w:rPr>
          <w:rFonts w:ascii="Palatino Linotype" w:hAnsi="Palatino Linotype"/>
        </w:rPr>
        <w:t>Anahita</w:t>
      </w:r>
      <w:proofErr w:type="spellEnd"/>
      <w:r w:rsidRPr="00D613B6">
        <w:rPr>
          <w:rFonts w:ascii="Palatino Linotype" w:hAnsi="Palatino Linotype"/>
        </w:rPr>
        <w:t xml:space="preserve"> GRISONI (EHESS-ENS Lyon), Florence HELLEC (INRA-SAD Mirecourt), Roger LE GUEN (ESA Angers), Jean-Marc MEYNARD (INRA-SAD Grignon), Jérôme MICHALON (Université Saint-Etienne), Dominique PATUREL (INRA-SAD Montpellier), Nancy PELUSO (</w:t>
      </w:r>
      <w:proofErr w:type="spellStart"/>
      <w:r w:rsidRPr="00D613B6">
        <w:rPr>
          <w:rFonts w:ascii="Palatino Linotype" w:hAnsi="Palatino Linotype"/>
        </w:rPr>
        <w:t>University</w:t>
      </w:r>
      <w:proofErr w:type="spellEnd"/>
      <w:r w:rsidRPr="00D613B6">
        <w:rPr>
          <w:rFonts w:ascii="Palatino Linotype" w:hAnsi="Palatino Linotype"/>
        </w:rPr>
        <w:t xml:space="preserve"> of </w:t>
      </w:r>
      <w:proofErr w:type="spellStart"/>
      <w:r w:rsidRPr="00D613B6">
        <w:rPr>
          <w:rFonts w:ascii="Palatino Linotype" w:hAnsi="Palatino Linotype"/>
        </w:rPr>
        <w:t>California</w:t>
      </w:r>
      <w:proofErr w:type="spellEnd"/>
      <w:r w:rsidRPr="00D613B6">
        <w:rPr>
          <w:rFonts w:ascii="Palatino Linotype" w:hAnsi="Palatino Linotype"/>
        </w:rPr>
        <w:t xml:space="preserve"> Berkeley), Justine PRIBETICH (</w:t>
      </w:r>
      <w:proofErr w:type="spellStart"/>
      <w:r w:rsidRPr="00D613B6">
        <w:rPr>
          <w:rFonts w:ascii="Palatino Linotype" w:hAnsi="Palatino Linotype"/>
        </w:rPr>
        <w:t>AgroSup</w:t>
      </w:r>
      <w:proofErr w:type="spellEnd"/>
      <w:r w:rsidRPr="00D613B6">
        <w:rPr>
          <w:rFonts w:ascii="Palatino Linotype" w:hAnsi="Palatino Linotype"/>
        </w:rPr>
        <w:t xml:space="preserve"> Dijon), François PURSEIGLE (ENSA Toulouse), Laura SAYRE (INRA-SAD Dijon), Pierre STASSART (Université de Liège Arlon), Michelle WANDER (</w:t>
      </w:r>
      <w:proofErr w:type="spellStart"/>
      <w:r w:rsidRPr="00D613B6">
        <w:rPr>
          <w:rFonts w:ascii="Palatino Linotype" w:hAnsi="Palatino Linotype"/>
        </w:rPr>
        <w:t>University</w:t>
      </w:r>
      <w:proofErr w:type="spellEnd"/>
      <w:r w:rsidRPr="00D613B6">
        <w:rPr>
          <w:rFonts w:ascii="Palatino Linotype" w:hAnsi="Palatino Linotype"/>
        </w:rPr>
        <w:t xml:space="preserve"> of Illinois Urbana-Champaign)</w:t>
      </w:r>
    </w:p>
    <w:p w:rsidR="00FC5E02" w:rsidRDefault="00FC5E02"/>
    <w:sectPr w:rsidR="00FC5E0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44" w:rsidRDefault="005C6144" w:rsidP="00085046">
      <w:pPr>
        <w:spacing w:after="0" w:line="240" w:lineRule="auto"/>
      </w:pPr>
      <w:r>
        <w:separator/>
      </w:r>
    </w:p>
  </w:endnote>
  <w:endnote w:type="continuationSeparator" w:id="0">
    <w:p w:rsidR="005C6144" w:rsidRDefault="005C6144" w:rsidP="0008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E2" w:rsidRDefault="005C614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33311"/>
      <w:docPartObj>
        <w:docPartGallery w:val="Page Numbers (Bottom of Page)"/>
        <w:docPartUnique/>
      </w:docPartObj>
    </w:sdtPr>
    <w:sdtEndPr/>
    <w:sdtContent>
      <w:p w:rsidR="00EB5336" w:rsidRDefault="002C19E5">
        <w:pPr>
          <w:pStyle w:val="Pieddepage"/>
          <w:jc w:val="center"/>
        </w:pPr>
        <w:r>
          <w:fldChar w:fldCharType="begin"/>
        </w:r>
        <w:r>
          <w:instrText>PAGE   \* MERGEFORMAT</w:instrText>
        </w:r>
        <w:r>
          <w:fldChar w:fldCharType="separate"/>
        </w:r>
        <w:r w:rsidR="005920E9">
          <w:rPr>
            <w:noProof/>
          </w:rPr>
          <w:t>1</w:t>
        </w:r>
        <w:r>
          <w:fldChar w:fldCharType="end"/>
        </w:r>
      </w:p>
    </w:sdtContent>
  </w:sdt>
  <w:p w:rsidR="00EB5336" w:rsidRDefault="005C614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E2" w:rsidRDefault="005C61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44" w:rsidRDefault="005C6144" w:rsidP="00085046">
      <w:pPr>
        <w:spacing w:after="0" w:line="240" w:lineRule="auto"/>
      </w:pPr>
      <w:r>
        <w:separator/>
      </w:r>
    </w:p>
  </w:footnote>
  <w:footnote w:type="continuationSeparator" w:id="0">
    <w:p w:rsidR="005C6144" w:rsidRDefault="005C6144" w:rsidP="00085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E2" w:rsidRDefault="005C614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E2" w:rsidRDefault="005C614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E2" w:rsidRDefault="005C61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283F"/>
    <w:multiLevelType w:val="hybridMultilevel"/>
    <w:tmpl w:val="27427634"/>
    <w:lvl w:ilvl="0" w:tplc="AE4E7F2C">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5453C6"/>
    <w:multiLevelType w:val="hybridMultilevel"/>
    <w:tmpl w:val="0442D6A8"/>
    <w:lvl w:ilvl="0" w:tplc="0010AD76">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650488"/>
    <w:multiLevelType w:val="hybridMultilevel"/>
    <w:tmpl w:val="D22C7662"/>
    <w:lvl w:ilvl="0" w:tplc="B8C2798E">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3D0E5A"/>
    <w:multiLevelType w:val="hybridMultilevel"/>
    <w:tmpl w:val="C39CEC94"/>
    <w:lvl w:ilvl="0" w:tplc="B56C89B0">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6E2ADD"/>
    <w:multiLevelType w:val="hybridMultilevel"/>
    <w:tmpl w:val="5E4C2738"/>
    <w:lvl w:ilvl="0" w:tplc="83A27FE8">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2C11F8"/>
    <w:multiLevelType w:val="hybridMultilevel"/>
    <w:tmpl w:val="C6DC7504"/>
    <w:lvl w:ilvl="0" w:tplc="7F7E8102">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9C12D6E"/>
    <w:multiLevelType w:val="hybridMultilevel"/>
    <w:tmpl w:val="312E2BB6"/>
    <w:lvl w:ilvl="0" w:tplc="337ED418">
      <w:start w:val="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46"/>
    <w:rsid w:val="00035E81"/>
    <w:rsid w:val="00085046"/>
    <w:rsid w:val="000B681A"/>
    <w:rsid w:val="00145A75"/>
    <w:rsid w:val="0019424A"/>
    <w:rsid w:val="00217BC3"/>
    <w:rsid w:val="002267C8"/>
    <w:rsid w:val="00242B14"/>
    <w:rsid w:val="002C19E5"/>
    <w:rsid w:val="002C4CD4"/>
    <w:rsid w:val="003A6F94"/>
    <w:rsid w:val="0040354C"/>
    <w:rsid w:val="0043007C"/>
    <w:rsid w:val="004F2433"/>
    <w:rsid w:val="005222B2"/>
    <w:rsid w:val="00535FAF"/>
    <w:rsid w:val="005920E9"/>
    <w:rsid w:val="005934AF"/>
    <w:rsid w:val="005C6144"/>
    <w:rsid w:val="006A0466"/>
    <w:rsid w:val="00721938"/>
    <w:rsid w:val="00823DD3"/>
    <w:rsid w:val="00977C07"/>
    <w:rsid w:val="00A77E46"/>
    <w:rsid w:val="00A92969"/>
    <w:rsid w:val="00AA4262"/>
    <w:rsid w:val="00AD0D79"/>
    <w:rsid w:val="00C37D6E"/>
    <w:rsid w:val="00C849AF"/>
    <w:rsid w:val="00D100AE"/>
    <w:rsid w:val="00D613B6"/>
    <w:rsid w:val="00E619C2"/>
    <w:rsid w:val="00EF64AA"/>
    <w:rsid w:val="00F07C48"/>
    <w:rsid w:val="00F4120B"/>
    <w:rsid w:val="00FC5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850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5046"/>
    <w:rPr>
      <w:sz w:val="20"/>
      <w:szCs w:val="20"/>
    </w:rPr>
  </w:style>
  <w:style w:type="character" w:styleId="Appelnotedebasdep">
    <w:name w:val="footnote reference"/>
    <w:basedOn w:val="Policepardfaut"/>
    <w:uiPriority w:val="99"/>
    <w:semiHidden/>
    <w:unhideWhenUsed/>
    <w:rsid w:val="00085046"/>
    <w:rPr>
      <w:vertAlign w:val="superscript"/>
    </w:rPr>
  </w:style>
  <w:style w:type="paragraph" w:styleId="En-tte">
    <w:name w:val="header"/>
    <w:basedOn w:val="Normal"/>
    <w:link w:val="En-tteCar"/>
    <w:uiPriority w:val="99"/>
    <w:unhideWhenUsed/>
    <w:rsid w:val="00085046"/>
    <w:pPr>
      <w:tabs>
        <w:tab w:val="center" w:pos="4536"/>
        <w:tab w:val="right" w:pos="9072"/>
      </w:tabs>
      <w:spacing w:after="0" w:line="240" w:lineRule="auto"/>
    </w:pPr>
  </w:style>
  <w:style w:type="character" w:customStyle="1" w:styleId="En-tteCar">
    <w:name w:val="En-tête Car"/>
    <w:basedOn w:val="Policepardfaut"/>
    <w:link w:val="En-tte"/>
    <w:uiPriority w:val="99"/>
    <w:rsid w:val="00085046"/>
  </w:style>
  <w:style w:type="paragraph" w:styleId="Pieddepage">
    <w:name w:val="footer"/>
    <w:basedOn w:val="Normal"/>
    <w:link w:val="PieddepageCar"/>
    <w:uiPriority w:val="99"/>
    <w:unhideWhenUsed/>
    <w:rsid w:val="00085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046"/>
  </w:style>
  <w:style w:type="paragraph" w:styleId="Paragraphedeliste">
    <w:name w:val="List Paragraph"/>
    <w:basedOn w:val="Normal"/>
    <w:uiPriority w:val="34"/>
    <w:qFormat/>
    <w:rsid w:val="00035E81"/>
    <w:pPr>
      <w:ind w:left="720"/>
      <w:contextualSpacing/>
    </w:pPr>
  </w:style>
  <w:style w:type="character" w:styleId="Lienhypertexte">
    <w:name w:val="Hyperlink"/>
    <w:basedOn w:val="Policepardfaut"/>
    <w:uiPriority w:val="99"/>
    <w:unhideWhenUsed/>
    <w:rsid w:val="002267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850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5046"/>
    <w:rPr>
      <w:sz w:val="20"/>
      <w:szCs w:val="20"/>
    </w:rPr>
  </w:style>
  <w:style w:type="character" w:styleId="Appelnotedebasdep">
    <w:name w:val="footnote reference"/>
    <w:basedOn w:val="Policepardfaut"/>
    <w:uiPriority w:val="99"/>
    <w:semiHidden/>
    <w:unhideWhenUsed/>
    <w:rsid w:val="00085046"/>
    <w:rPr>
      <w:vertAlign w:val="superscript"/>
    </w:rPr>
  </w:style>
  <w:style w:type="paragraph" w:styleId="En-tte">
    <w:name w:val="header"/>
    <w:basedOn w:val="Normal"/>
    <w:link w:val="En-tteCar"/>
    <w:uiPriority w:val="99"/>
    <w:unhideWhenUsed/>
    <w:rsid w:val="00085046"/>
    <w:pPr>
      <w:tabs>
        <w:tab w:val="center" w:pos="4536"/>
        <w:tab w:val="right" w:pos="9072"/>
      </w:tabs>
      <w:spacing w:after="0" w:line="240" w:lineRule="auto"/>
    </w:pPr>
  </w:style>
  <w:style w:type="character" w:customStyle="1" w:styleId="En-tteCar">
    <w:name w:val="En-tête Car"/>
    <w:basedOn w:val="Policepardfaut"/>
    <w:link w:val="En-tte"/>
    <w:uiPriority w:val="99"/>
    <w:rsid w:val="00085046"/>
  </w:style>
  <w:style w:type="paragraph" w:styleId="Pieddepage">
    <w:name w:val="footer"/>
    <w:basedOn w:val="Normal"/>
    <w:link w:val="PieddepageCar"/>
    <w:uiPriority w:val="99"/>
    <w:unhideWhenUsed/>
    <w:rsid w:val="00085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046"/>
  </w:style>
  <w:style w:type="paragraph" w:styleId="Paragraphedeliste">
    <w:name w:val="List Paragraph"/>
    <w:basedOn w:val="Normal"/>
    <w:uiPriority w:val="34"/>
    <w:qFormat/>
    <w:rsid w:val="00035E81"/>
    <w:pPr>
      <w:ind w:left="720"/>
      <w:contextualSpacing/>
    </w:pPr>
  </w:style>
  <w:style w:type="character" w:styleId="Lienhypertexte">
    <w:name w:val="Hyperlink"/>
    <w:basedOn w:val="Policepardfaut"/>
    <w:uiPriority w:val="99"/>
    <w:unhideWhenUsed/>
    <w:rsid w:val="00226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ayre@dijon.inra.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1439</Words>
  <Characters>7915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Doidy</dc:creator>
  <cp:lastModifiedBy>Eric Doidy</cp:lastModifiedBy>
  <cp:revision>27</cp:revision>
  <dcterms:created xsi:type="dcterms:W3CDTF">2013-01-07T16:49:00Z</dcterms:created>
  <dcterms:modified xsi:type="dcterms:W3CDTF">2013-01-16T11:17:00Z</dcterms:modified>
</cp:coreProperties>
</file>